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ayout w:type="fixed"/>
        <w:tblLook w:val="0000"/>
      </w:tblPr>
      <w:tblGrid>
        <w:gridCol w:w="9540"/>
      </w:tblGrid>
      <w:tr w:rsidR="00824136" w:rsidRPr="00CF1C36" w:rsidTr="00311575">
        <w:tc>
          <w:tcPr>
            <w:tcW w:w="9540" w:type="dxa"/>
          </w:tcPr>
          <w:p w:rsidR="00824136" w:rsidRPr="00D611CC" w:rsidRDefault="00470F16" w:rsidP="00311575">
            <w:pPr>
              <w:pStyle w:val="Title"/>
              <w:spacing w:before="120"/>
              <w:rPr>
                <w:rFonts w:ascii="Times New Roman" w:hAnsi="Times New Roman"/>
                <w:b w:val="0"/>
                <w:i/>
                <w:sz w:val="22"/>
                <w:szCs w:val="22"/>
              </w:rPr>
            </w:pPr>
            <w:r>
              <w:rPr>
                <w:rFonts w:ascii="Times New Roman" w:hAnsi="Times New Roman"/>
                <w:b w:val="0"/>
                <w:i/>
                <w:szCs w:val="24"/>
              </w:rPr>
              <w:t>admin</w:t>
            </w:r>
            <w:r w:rsidR="00824136" w:rsidRPr="00E136D3">
              <w:rPr>
                <w:rFonts w:ascii="Times New Roman" w:hAnsi="Times New Roman"/>
                <w:b w:val="0"/>
                <w:i/>
                <w:szCs w:val="24"/>
              </w:rPr>
              <w:t>(</w:t>
            </w:r>
            <w:r w:rsidR="00824136" w:rsidRPr="00D611CC">
              <w:rPr>
                <w:rFonts w:ascii="Times New Roman" w:hAnsi="Times New Roman"/>
                <w:b w:val="0"/>
                <w:i/>
                <w:sz w:val="22"/>
                <w:szCs w:val="22"/>
              </w:rPr>
              <w:t xml:space="preserve">Mẫu phụ lục số III Ban hành kèm theo Thông tư số </w:t>
            </w:r>
            <w:r w:rsidR="00824136" w:rsidRPr="00D611CC">
              <w:rPr>
                <w:rFonts w:ascii="Times New Roman" w:hAnsi="Times New Roman"/>
                <w:b w:val="0"/>
                <w:i/>
                <w:sz w:val="22"/>
                <w:szCs w:val="22"/>
                <w:lang w:val="nl-NL"/>
              </w:rPr>
              <w:t xml:space="preserve">52/2012/TT-BTC ngày 05 tháng 04 năm 2012 </w:t>
            </w:r>
            <w:r w:rsidR="00824136" w:rsidRPr="00D611CC">
              <w:rPr>
                <w:rFonts w:ascii="Times New Roman" w:hAnsi="Times New Roman"/>
                <w:b w:val="0"/>
                <w:i/>
                <w:sz w:val="22"/>
                <w:szCs w:val="22"/>
              </w:rPr>
              <w:t>của Bộ trưởng Bộ Tài chính hướng dẫn về việc Công bố thông tin trên thị trường chứng khoán)</w:t>
            </w:r>
          </w:p>
          <w:p w:rsidR="00824136" w:rsidRPr="00634760" w:rsidRDefault="00824136" w:rsidP="00311575">
            <w:pPr>
              <w:jc w:val="both"/>
              <w:rPr>
                <w:sz w:val="18"/>
                <w:szCs w:val="26"/>
              </w:rPr>
            </w:pPr>
          </w:p>
        </w:tc>
      </w:tr>
    </w:tbl>
    <w:p w:rsidR="00824136" w:rsidRPr="009C3926" w:rsidRDefault="00824136" w:rsidP="00824136">
      <w:pPr>
        <w:pStyle w:val="Title"/>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824136" w:rsidRDefault="00824136" w:rsidP="00824136">
      <w:pPr>
        <w:pStyle w:val="Title"/>
        <w:rPr>
          <w:rFonts w:ascii="Times New Roman" w:hAnsi="Times New Roman"/>
          <w:color w:val="000000"/>
          <w:sz w:val="28"/>
          <w:szCs w:val="28"/>
        </w:rPr>
      </w:pPr>
      <w:r>
        <w:rPr>
          <w:rFonts w:ascii="Times New Roman" w:hAnsi="Times New Roman"/>
          <w:color w:val="000000"/>
          <w:sz w:val="28"/>
          <w:szCs w:val="28"/>
        </w:rPr>
        <w:t>(6 tháng đầu năm 2015</w:t>
      </w:r>
      <w:r w:rsidRPr="00D3301A">
        <w:rPr>
          <w:rFonts w:ascii="Times New Roman" w:hAnsi="Times New Roman"/>
          <w:color w:val="000000"/>
          <w:sz w:val="28"/>
          <w:szCs w:val="28"/>
        </w:rPr>
        <w:t>)</w:t>
      </w:r>
    </w:p>
    <w:p w:rsidR="00824136" w:rsidRPr="00D3301A" w:rsidRDefault="00824136" w:rsidP="00824136">
      <w:pPr>
        <w:pStyle w:val="Title"/>
        <w:rPr>
          <w:rFonts w:ascii="Times New Roman" w:hAnsi="Times New Roman"/>
          <w:color w:val="000000"/>
          <w:sz w:val="28"/>
          <w:szCs w:val="28"/>
        </w:rPr>
      </w:pPr>
    </w:p>
    <w:p w:rsidR="00824136" w:rsidRPr="00634760" w:rsidRDefault="00824136" w:rsidP="00824136">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824136" w:rsidRPr="00924BA6" w:rsidTr="00311575">
        <w:trPr>
          <w:trHeight w:val="297"/>
        </w:trPr>
        <w:tc>
          <w:tcPr>
            <w:tcW w:w="1909" w:type="dxa"/>
          </w:tcPr>
          <w:p w:rsidR="00824136" w:rsidRPr="0060640C" w:rsidRDefault="00824136" w:rsidP="00311575">
            <w:pPr>
              <w:jc w:val="both"/>
              <w:rPr>
                <w:i/>
                <w:color w:val="000000"/>
                <w:sz w:val="26"/>
                <w:szCs w:val="26"/>
              </w:rPr>
            </w:pPr>
            <w:r w:rsidRPr="00D058EE">
              <w:rPr>
                <w:color w:val="000000"/>
                <w:sz w:val="26"/>
                <w:szCs w:val="26"/>
              </w:rPr>
              <w:t>Kính gửi</w:t>
            </w:r>
            <w:r w:rsidRPr="0060640C">
              <w:rPr>
                <w:i/>
                <w:color w:val="000000"/>
                <w:sz w:val="26"/>
                <w:szCs w:val="26"/>
              </w:rPr>
              <w:t>:</w:t>
            </w:r>
          </w:p>
        </w:tc>
        <w:tc>
          <w:tcPr>
            <w:tcW w:w="7001" w:type="dxa"/>
          </w:tcPr>
          <w:p w:rsidR="00824136" w:rsidRPr="0060640C" w:rsidRDefault="00824136" w:rsidP="00311575">
            <w:pPr>
              <w:numPr>
                <w:ilvl w:val="0"/>
                <w:numId w:val="1"/>
              </w:numPr>
              <w:jc w:val="both"/>
              <w:rPr>
                <w:color w:val="000000"/>
                <w:sz w:val="26"/>
                <w:szCs w:val="26"/>
              </w:rPr>
            </w:pPr>
            <w:r w:rsidRPr="0060640C">
              <w:rPr>
                <w:color w:val="000000"/>
                <w:sz w:val="26"/>
                <w:szCs w:val="26"/>
              </w:rPr>
              <w:t xml:space="preserve"> Ủy ban Chứng khoán Nhà nước</w:t>
            </w:r>
          </w:p>
        </w:tc>
      </w:tr>
      <w:tr w:rsidR="00824136" w:rsidRPr="00924BA6" w:rsidTr="00311575">
        <w:trPr>
          <w:trHeight w:val="297"/>
        </w:trPr>
        <w:tc>
          <w:tcPr>
            <w:tcW w:w="1909" w:type="dxa"/>
          </w:tcPr>
          <w:p w:rsidR="00824136" w:rsidRPr="0060640C" w:rsidRDefault="00824136" w:rsidP="00311575">
            <w:pPr>
              <w:jc w:val="both"/>
              <w:rPr>
                <w:color w:val="000000"/>
                <w:sz w:val="26"/>
                <w:szCs w:val="26"/>
              </w:rPr>
            </w:pPr>
          </w:p>
        </w:tc>
        <w:tc>
          <w:tcPr>
            <w:tcW w:w="7001" w:type="dxa"/>
          </w:tcPr>
          <w:p w:rsidR="00824136" w:rsidRDefault="00824136" w:rsidP="00311575">
            <w:pPr>
              <w:numPr>
                <w:ilvl w:val="0"/>
                <w:numId w:val="1"/>
              </w:numPr>
              <w:jc w:val="both"/>
              <w:rPr>
                <w:bCs/>
                <w:color w:val="000000"/>
                <w:sz w:val="26"/>
                <w:szCs w:val="26"/>
              </w:rPr>
            </w:pPr>
            <w:r w:rsidRPr="0060640C">
              <w:rPr>
                <w:bCs/>
                <w:color w:val="000000"/>
                <w:sz w:val="26"/>
                <w:szCs w:val="26"/>
              </w:rPr>
              <w:t xml:space="preserve"> Sở Giao dịch Chứng khoán </w:t>
            </w:r>
            <w:r>
              <w:rPr>
                <w:bCs/>
                <w:color w:val="000000"/>
                <w:sz w:val="26"/>
                <w:szCs w:val="26"/>
              </w:rPr>
              <w:t>Hà Nội</w:t>
            </w:r>
          </w:p>
          <w:p w:rsidR="00824136" w:rsidRPr="003725FA" w:rsidRDefault="00824136" w:rsidP="00311575">
            <w:pPr>
              <w:jc w:val="both"/>
              <w:rPr>
                <w:bCs/>
                <w:color w:val="000000"/>
                <w:sz w:val="26"/>
                <w:szCs w:val="26"/>
              </w:rPr>
            </w:pPr>
          </w:p>
        </w:tc>
      </w:tr>
    </w:tbl>
    <w:p w:rsidR="00824136" w:rsidRDefault="00824136" w:rsidP="00824136">
      <w:pPr>
        <w:pStyle w:val="BodyText"/>
        <w:spacing w:before="120" w:after="120"/>
        <w:rPr>
          <w:rFonts w:ascii="Times New Roman" w:hAnsi="Times New Roman"/>
          <w:color w:val="000000"/>
          <w:sz w:val="26"/>
          <w:szCs w:val="26"/>
        </w:rPr>
      </w:pPr>
      <w:r>
        <w:rPr>
          <w:rFonts w:ascii="Times New Roman" w:hAnsi="Times New Roman"/>
          <w:b/>
          <w:color w:val="000000"/>
          <w:sz w:val="10"/>
          <w:szCs w:val="26"/>
        </w:rPr>
        <w:tab/>
      </w:r>
      <w:r>
        <w:rPr>
          <w:rFonts w:ascii="Times New Roman" w:hAnsi="Times New Roman"/>
          <w:b/>
          <w:color w:val="000000"/>
          <w:sz w:val="26"/>
          <w:szCs w:val="26"/>
        </w:rPr>
        <w:t xml:space="preserve">- </w:t>
      </w:r>
      <w:r w:rsidRPr="00A42A5B">
        <w:rPr>
          <w:rFonts w:ascii="Times New Roman" w:hAnsi="Times New Roman"/>
          <w:color w:val="000000"/>
          <w:sz w:val="26"/>
          <w:szCs w:val="26"/>
        </w:rPr>
        <w:t>Tên công ty đại chúng: CÔNG TY CỔ PHẦN CƠ KHÍ VÀ KHOÁNG SẢN HÀ GIANG</w:t>
      </w:r>
    </w:p>
    <w:p w:rsidR="00824136" w:rsidRPr="00D3400E" w:rsidRDefault="00824136" w:rsidP="00824136">
      <w:pPr>
        <w:pStyle w:val="BodyText"/>
        <w:spacing w:before="120" w:after="120"/>
        <w:rPr>
          <w:rFonts w:ascii="Times New Roman" w:hAnsi="Times New Roman"/>
          <w:color w:val="000000"/>
          <w:spacing w:val="-6"/>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 xml:space="preserve">- </w:t>
      </w:r>
      <w:r w:rsidRPr="00D3400E">
        <w:rPr>
          <w:rFonts w:ascii="Times New Roman" w:hAnsi="Times New Roman"/>
          <w:color w:val="000000"/>
          <w:spacing w:val="-6"/>
          <w:sz w:val="26"/>
          <w:szCs w:val="26"/>
        </w:rPr>
        <w:t>Địa chỉ trụ sở chính: Số 390, đường Nguyễn Trãi, Thành phố Hà Giang, tỉnh Hà Giang.</w:t>
      </w:r>
      <w:proofErr w:type="gramEnd"/>
    </w:p>
    <w:p w:rsidR="00824136" w:rsidRDefault="00824136" w:rsidP="00824136">
      <w:pPr>
        <w:pStyle w:val="BodyText"/>
        <w:spacing w:before="120" w:after="120"/>
        <w:rPr>
          <w:rFonts w:ascii="Times New Roman" w:hAnsi="Times New Roman"/>
          <w:color w:val="000000"/>
          <w:sz w:val="26"/>
          <w:szCs w:val="26"/>
        </w:rPr>
      </w:pPr>
      <w:r>
        <w:rPr>
          <w:rFonts w:ascii="Times New Roman" w:hAnsi="Times New Roman"/>
          <w:color w:val="000000"/>
          <w:sz w:val="26"/>
          <w:szCs w:val="26"/>
        </w:rPr>
        <w:tab/>
        <w:t xml:space="preserve">- Điện thoại: 02193866708 – Fax: 02193867068 – Email: </w:t>
      </w:r>
      <w:hyperlink r:id="rId7" w:history="1">
        <w:r w:rsidRPr="00B32593">
          <w:rPr>
            <w:rStyle w:val="Hyperlink"/>
            <w:rFonts w:ascii="Times New Roman" w:hAnsi="Times New Roman"/>
            <w:sz w:val="26"/>
            <w:szCs w:val="26"/>
          </w:rPr>
          <w:t>khoangsanhg@vnn.vn</w:t>
        </w:r>
      </w:hyperlink>
      <w:r>
        <w:rPr>
          <w:rFonts w:ascii="Times New Roman" w:hAnsi="Times New Roman"/>
          <w:color w:val="000000"/>
          <w:sz w:val="26"/>
          <w:szCs w:val="26"/>
        </w:rPr>
        <w:t>.</w:t>
      </w:r>
    </w:p>
    <w:p w:rsidR="00824136" w:rsidRDefault="00824136" w:rsidP="00824136">
      <w:pPr>
        <w:pStyle w:val="BodyText"/>
        <w:spacing w:before="120" w:after="120"/>
        <w:rPr>
          <w:rFonts w:ascii="Times New Roman" w:hAnsi="Times New Roman"/>
          <w:color w:val="000000"/>
          <w:sz w:val="26"/>
          <w:szCs w:val="26"/>
        </w:rPr>
      </w:pPr>
      <w:r>
        <w:rPr>
          <w:rFonts w:ascii="Times New Roman" w:hAnsi="Times New Roman"/>
          <w:color w:val="000000"/>
          <w:sz w:val="26"/>
          <w:szCs w:val="26"/>
        </w:rPr>
        <w:tab/>
        <w:t>- Vốn điều lệ: 126.000.000.000đồng</w:t>
      </w:r>
    </w:p>
    <w:p w:rsidR="00824136" w:rsidRPr="00A42A5B" w:rsidRDefault="00824136" w:rsidP="00824136">
      <w:pPr>
        <w:pStyle w:val="BodyText"/>
        <w:spacing w:before="120" w:after="120"/>
        <w:rPr>
          <w:rFonts w:ascii="Times New Roman" w:hAnsi="Times New Roman"/>
          <w:color w:val="000000"/>
          <w:sz w:val="26"/>
          <w:szCs w:val="26"/>
        </w:rPr>
      </w:pPr>
      <w:r>
        <w:rPr>
          <w:rFonts w:ascii="Times New Roman" w:hAnsi="Times New Roman"/>
          <w:color w:val="000000"/>
          <w:sz w:val="26"/>
          <w:szCs w:val="26"/>
        </w:rPr>
        <w:tab/>
        <w:t>- Mã chứng khoán: HGM</w:t>
      </w:r>
    </w:p>
    <w:p w:rsidR="00824136" w:rsidRPr="00924BA6" w:rsidRDefault="00824136" w:rsidP="00824136">
      <w:pPr>
        <w:pStyle w:val="BodyText"/>
        <w:ind w:left="720"/>
        <w:rPr>
          <w:rFonts w:ascii="Times New Roman" w:hAnsi="Times New Roman"/>
          <w:b/>
          <w:color w:val="000000"/>
          <w:sz w:val="26"/>
          <w:szCs w:val="26"/>
        </w:rPr>
      </w:pPr>
      <w:r w:rsidRPr="00924BA6">
        <w:rPr>
          <w:rFonts w:ascii="Times New Roman" w:hAnsi="Times New Roman"/>
          <w:b/>
          <w:color w:val="000000"/>
          <w:sz w:val="26"/>
          <w:szCs w:val="26"/>
        </w:rPr>
        <w:t xml:space="preserve">I. </w:t>
      </w:r>
      <w:r>
        <w:rPr>
          <w:rFonts w:ascii="Times New Roman" w:hAnsi="Times New Roman"/>
          <w:b/>
          <w:color w:val="000000"/>
          <w:sz w:val="26"/>
          <w:szCs w:val="26"/>
        </w:rPr>
        <w:t>Hoạt động của Hội đồng quản trị 6 tháng đầu năm 2015</w:t>
      </w:r>
    </w:p>
    <w:p w:rsidR="00824136" w:rsidRPr="003271B1" w:rsidRDefault="00824136" w:rsidP="00824136">
      <w:pPr>
        <w:pStyle w:val="BodyText"/>
        <w:ind w:left="720"/>
        <w:rPr>
          <w:rFonts w:ascii="Times New Roman" w:hAnsi="Times New Roman"/>
          <w:b/>
          <w:color w:val="000000"/>
          <w:sz w:val="26"/>
          <w:szCs w:val="26"/>
        </w:rPr>
      </w:pPr>
      <w:r w:rsidRPr="003271B1">
        <w:rPr>
          <w:rFonts w:ascii="Times New Roman" w:hAnsi="Times New Roman"/>
          <w:b/>
          <w:color w:val="000000"/>
          <w:sz w:val="26"/>
          <w:szCs w:val="26"/>
        </w:rPr>
        <w:t>1. Các cuộc họp của HĐQT:</w:t>
      </w:r>
    </w:p>
    <w:p w:rsidR="00824136" w:rsidRPr="00924BA6" w:rsidRDefault="00824136" w:rsidP="00824136">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Tính từ ngày 01/01/201</w:t>
      </w:r>
      <w:r w:rsidR="00606BA8">
        <w:rPr>
          <w:rFonts w:ascii="Times New Roman" w:hAnsi="Times New Roman"/>
          <w:color w:val="000000"/>
          <w:sz w:val="26"/>
          <w:szCs w:val="26"/>
        </w:rPr>
        <w:t>5</w:t>
      </w:r>
      <w:r>
        <w:rPr>
          <w:rFonts w:ascii="Times New Roman" w:hAnsi="Times New Roman"/>
          <w:color w:val="000000"/>
          <w:sz w:val="26"/>
          <w:szCs w:val="26"/>
        </w:rPr>
        <w:t xml:space="preserve"> đến ngày 30/6/2015 Hội đồng qu</w:t>
      </w:r>
      <w:r w:rsidR="00C212E2">
        <w:rPr>
          <w:rFonts w:ascii="Times New Roman" w:hAnsi="Times New Roman"/>
          <w:color w:val="000000"/>
          <w:sz w:val="26"/>
          <w:szCs w:val="26"/>
        </w:rPr>
        <w:t>ản trị tổ chức 02 cuộc họp và 01</w:t>
      </w:r>
      <w:r>
        <w:rPr>
          <w:rFonts w:ascii="Times New Roman" w:hAnsi="Times New Roman"/>
          <w:color w:val="000000"/>
          <w:sz w:val="26"/>
          <w:szCs w:val="26"/>
        </w:rPr>
        <w:t xml:space="preserve"> lần xin ý kiến biểu quyết bằng văn bản</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2867"/>
        <w:gridCol w:w="1320"/>
        <w:gridCol w:w="1560"/>
        <w:gridCol w:w="1200"/>
        <w:gridCol w:w="1882"/>
      </w:tblGrid>
      <w:tr w:rsidR="00824136" w:rsidRPr="00924BA6" w:rsidTr="00311575">
        <w:tc>
          <w:tcPr>
            <w:tcW w:w="777"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67"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320"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60"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200"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82" w:type="dxa"/>
          </w:tcPr>
          <w:p w:rsidR="00824136" w:rsidRPr="00924BA6" w:rsidRDefault="00C212E2" w:rsidP="00311575">
            <w:pPr>
              <w:pStyle w:val="BodyText"/>
              <w:jc w:val="center"/>
              <w:rPr>
                <w:rFonts w:ascii="Times New Roman" w:hAnsi="Times New Roman"/>
                <w:b/>
                <w:color w:val="000000"/>
                <w:sz w:val="26"/>
                <w:szCs w:val="26"/>
              </w:rPr>
            </w:pPr>
            <w:r>
              <w:rPr>
                <w:rFonts w:ascii="Times New Roman" w:hAnsi="Times New Roman"/>
                <w:b/>
                <w:color w:val="000000"/>
                <w:sz w:val="26"/>
                <w:szCs w:val="26"/>
              </w:rPr>
              <w:t>Ghi chú</w:t>
            </w:r>
          </w:p>
        </w:tc>
      </w:tr>
      <w:tr w:rsidR="00824136" w:rsidRPr="00924BA6" w:rsidTr="00311575">
        <w:tc>
          <w:tcPr>
            <w:tcW w:w="777" w:type="dxa"/>
          </w:tcPr>
          <w:p w:rsidR="00824136" w:rsidRDefault="00824136" w:rsidP="00311575">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867" w:type="dxa"/>
          </w:tcPr>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Ông Phạm Thành Đô</w:t>
            </w:r>
          </w:p>
        </w:tc>
        <w:tc>
          <w:tcPr>
            <w:tcW w:w="1320" w:type="dxa"/>
          </w:tcPr>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Chủ tịch</w:t>
            </w:r>
          </w:p>
        </w:tc>
        <w:tc>
          <w:tcPr>
            <w:tcW w:w="1560" w:type="dxa"/>
          </w:tcPr>
          <w:p w:rsidR="00824136" w:rsidRDefault="00606BA8" w:rsidP="00311575">
            <w:pPr>
              <w:pStyle w:val="BodyText"/>
              <w:jc w:val="center"/>
              <w:rPr>
                <w:rFonts w:ascii="Times New Roman" w:hAnsi="Times New Roman"/>
                <w:color w:val="000000"/>
                <w:sz w:val="26"/>
                <w:szCs w:val="26"/>
              </w:rPr>
            </w:pPr>
            <w:r>
              <w:rPr>
                <w:rFonts w:ascii="Times New Roman" w:hAnsi="Times New Roman"/>
                <w:color w:val="000000"/>
                <w:sz w:val="26"/>
                <w:szCs w:val="26"/>
              </w:rPr>
              <w:t>0</w:t>
            </w:r>
            <w:r w:rsidR="00C212E2">
              <w:rPr>
                <w:rFonts w:ascii="Times New Roman" w:hAnsi="Times New Roman"/>
                <w:color w:val="000000"/>
                <w:sz w:val="26"/>
                <w:szCs w:val="26"/>
              </w:rPr>
              <w:t>3</w:t>
            </w:r>
          </w:p>
        </w:tc>
        <w:tc>
          <w:tcPr>
            <w:tcW w:w="1200" w:type="dxa"/>
          </w:tcPr>
          <w:p w:rsidR="00824136" w:rsidRDefault="00824136"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824136" w:rsidRPr="00C212E2" w:rsidRDefault="00C212E2" w:rsidP="00311575">
            <w:pPr>
              <w:pStyle w:val="BodyText"/>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C212E2" w:rsidRPr="00924BA6" w:rsidTr="00311575">
        <w:tc>
          <w:tcPr>
            <w:tcW w:w="777" w:type="dxa"/>
          </w:tcPr>
          <w:p w:rsidR="00C212E2" w:rsidRPr="00924BA6"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867" w:type="dxa"/>
          </w:tcPr>
          <w:p w:rsidR="00C212E2" w:rsidRPr="00924BA6"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Ông Trịnh Ngọc Hiếu</w:t>
            </w:r>
            <w:r w:rsidRPr="00924BA6">
              <w:rPr>
                <w:rFonts w:ascii="Times New Roman" w:hAnsi="Times New Roman"/>
                <w:color w:val="000000"/>
                <w:sz w:val="26"/>
                <w:szCs w:val="26"/>
              </w:rPr>
              <w:t xml:space="preserve">           </w:t>
            </w:r>
          </w:p>
        </w:tc>
        <w:tc>
          <w:tcPr>
            <w:tcW w:w="1320" w:type="dxa"/>
          </w:tcPr>
          <w:p w:rsidR="00C212E2" w:rsidRPr="00924BA6"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212E2" w:rsidRPr="00924BA6"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C212E2" w:rsidRPr="00924BA6"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212E2" w:rsidRPr="00C212E2" w:rsidRDefault="00C212E2" w:rsidP="00F677D9">
            <w:pPr>
              <w:pStyle w:val="BodyText"/>
              <w:rPr>
                <w:rFonts w:ascii="Times New Roman" w:hAnsi="Times New Roman"/>
                <w:color w:val="000000"/>
                <w:sz w:val="24"/>
                <w:szCs w:val="24"/>
              </w:rPr>
            </w:pPr>
            <w:r>
              <w:rPr>
                <w:rFonts w:ascii="Times New Roman" w:hAnsi="Times New Roman"/>
                <w:color w:val="000000"/>
                <w:sz w:val="24"/>
                <w:szCs w:val="24"/>
              </w:rPr>
              <w:t>Đ</w:t>
            </w:r>
            <w:r w:rsidRPr="00C212E2">
              <w:rPr>
                <w:rFonts w:ascii="Times New Roman" w:hAnsi="Times New Roman"/>
                <w:color w:val="000000"/>
                <w:sz w:val="24"/>
                <w:szCs w:val="24"/>
              </w:rPr>
              <w:t>iều hành</w:t>
            </w:r>
          </w:p>
        </w:tc>
      </w:tr>
      <w:tr w:rsidR="00C212E2" w:rsidRPr="00924BA6" w:rsidTr="00311575">
        <w:tc>
          <w:tcPr>
            <w:tcW w:w="777"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867"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Ông Đào Xuân Tuất</w:t>
            </w:r>
          </w:p>
        </w:tc>
        <w:tc>
          <w:tcPr>
            <w:tcW w:w="1320" w:type="dxa"/>
          </w:tcPr>
          <w:p w:rsidR="00C212E2" w:rsidRPr="00924BA6"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212E2" w:rsidRPr="00924BA6"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C212E2" w:rsidRPr="00924BA6"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212E2" w:rsidRPr="00C212E2" w:rsidRDefault="00C212E2" w:rsidP="00F677D9">
            <w:pPr>
              <w:pStyle w:val="BodyText"/>
              <w:rPr>
                <w:rFonts w:ascii="Times New Roman" w:hAnsi="Times New Roman"/>
                <w:color w:val="000000"/>
                <w:sz w:val="24"/>
                <w:szCs w:val="24"/>
              </w:rPr>
            </w:pPr>
            <w:r>
              <w:rPr>
                <w:rFonts w:ascii="Times New Roman" w:hAnsi="Times New Roman"/>
                <w:color w:val="000000"/>
                <w:sz w:val="24"/>
                <w:szCs w:val="24"/>
              </w:rPr>
              <w:t>Đ</w:t>
            </w:r>
            <w:r w:rsidRPr="00C212E2">
              <w:rPr>
                <w:rFonts w:ascii="Times New Roman" w:hAnsi="Times New Roman"/>
                <w:color w:val="000000"/>
                <w:sz w:val="24"/>
                <w:szCs w:val="24"/>
              </w:rPr>
              <w:t>iều hành</w:t>
            </w:r>
          </w:p>
        </w:tc>
      </w:tr>
      <w:tr w:rsidR="00C212E2" w:rsidRPr="00924BA6" w:rsidTr="00311575">
        <w:tc>
          <w:tcPr>
            <w:tcW w:w="777"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867"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Ông Lê Thanh Tuấn</w:t>
            </w:r>
          </w:p>
        </w:tc>
        <w:tc>
          <w:tcPr>
            <w:tcW w:w="1320"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212E2" w:rsidRPr="00C212E2" w:rsidRDefault="00C212E2" w:rsidP="00F677D9">
            <w:pPr>
              <w:pStyle w:val="BodyText"/>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C212E2" w:rsidRPr="00924BA6" w:rsidTr="00311575">
        <w:tc>
          <w:tcPr>
            <w:tcW w:w="777"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2867"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Ông Tạ Hồng Thăng</w:t>
            </w:r>
          </w:p>
        </w:tc>
        <w:tc>
          <w:tcPr>
            <w:tcW w:w="1320"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212E2" w:rsidRPr="00C212E2" w:rsidRDefault="00C212E2" w:rsidP="00F677D9">
            <w:pPr>
              <w:pStyle w:val="BodyText"/>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C212E2" w:rsidRPr="00924BA6" w:rsidTr="00311575">
        <w:tc>
          <w:tcPr>
            <w:tcW w:w="777"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867"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Ông Nguyễn Trung Hiếu</w:t>
            </w:r>
          </w:p>
        </w:tc>
        <w:tc>
          <w:tcPr>
            <w:tcW w:w="1320" w:type="dxa"/>
          </w:tcPr>
          <w:p w:rsidR="00C212E2" w:rsidRDefault="00C212E2" w:rsidP="00311575">
            <w:pPr>
              <w:pStyle w:val="BodyText"/>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C212E2" w:rsidRDefault="00C212E2" w:rsidP="00311575">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C212E2" w:rsidRPr="00C212E2" w:rsidRDefault="00C212E2" w:rsidP="00F677D9">
            <w:pPr>
              <w:pStyle w:val="BodyText"/>
              <w:rPr>
                <w:rFonts w:ascii="Times New Roman" w:hAnsi="Times New Roman"/>
                <w:color w:val="000000"/>
                <w:sz w:val="24"/>
                <w:szCs w:val="24"/>
              </w:rPr>
            </w:pPr>
            <w:r w:rsidRPr="00C212E2">
              <w:rPr>
                <w:rFonts w:ascii="Times New Roman" w:hAnsi="Times New Roman"/>
                <w:color w:val="000000"/>
                <w:sz w:val="24"/>
                <w:szCs w:val="24"/>
              </w:rPr>
              <w:t>Không điều hành</w:t>
            </w:r>
          </w:p>
        </w:tc>
      </w:tr>
    </w:tbl>
    <w:p w:rsidR="00824136" w:rsidRDefault="00824136" w:rsidP="00824136">
      <w:pPr>
        <w:pStyle w:val="BodyText"/>
        <w:spacing w:before="120" w:after="120"/>
        <w:ind w:firstLine="720"/>
        <w:rPr>
          <w:rFonts w:ascii="Times New Roman" w:hAnsi="Times New Roman"/>
          <w:b/>
          <w:color w:val="000000"/>
          <w:sz w:val="26"/>
          <w:szCs w:val="26"/>
        </w:rPr>
      </w:pPr>
    </w:p>
    <w:p w:rsidR="00824136" w:rsidRPr="003271B1" w:rsidRDefault="00824136" w:rsidP="00824136">
      <w:pPr>
        <w:pStyle w:val="BodyText"/>
        <w:spacing w:before="120" w:after="120"/>
        <w:ind w:firstLine="720"/>
        <w:rPr>
          <w:rFonts w:ascii="Times New Roman" w:hAnsi="Times New Roman"/>
          <w:b/>
          <w:color w:val="000000"/>
          <w:sz w:val="26"/>
          <w:szCs w:val="26"/>
        </w:rPr>
      </w:pPr>
      <w:r w:rsidRPr="003271B1">
        <w:rPr>
          <w:rFonts w:ascii="Times New Roman" w:hAnsi="Times New Roman"/>
          <w:b/>
          <w:color w:val="000000"/>
          <w:sz w:val="26"/>
          <w:szCs w:val="26"/>
        </w:rPr>
        <w:t xml:space="preserve">2. Hoạt động giám sát của HĐQT đối với Ban Giám đốc: </w:t>
      </w:r>
    </w:p>
    <w:p w:rsidR="00824136" w:rsidRDefault="00824136" w:rsidP="00824136">
      <w:pPr>
        <w:pStyle w:val="BodyText"/>
        <w:rPr>
          <w:rFonts w:ascii="Times New Roman" w:hAnsi="Times New Roman"/>
          <w:color w:val="000000"/>
          <w:sz w:val="26"/>
          <w:szCs w:val="26"/>
        </w:rPr>
      </w:pPr>
      <w:r>
        <w:rPr>
          <w:rFonts w:ascii="Times New Roman" w:hAnsi="Times New Roman"/>
          <w:color w:val="000000"/>
          <w:sz w:val="26"/>
          <w:szCs w:val="26"/>
        </w:rPr>
        <w:tab/>
        <w:t xml:space="preserve">- HĐQT thường xuyên </w:t>
      </w:r>
      <w:proofErr w:type="gramStart"/>
      <w:r>
        <w:rPr>
          <w:rFonts w:ascii="Times New Roman" w:hAnsi="Times New Roman"/>
          <w:color w:val="000000"/>
          <w:sz w:val="26"/>
          <w:szCs w:val="26"/>
        </w:rPr>
        <w:t>theo</w:t>
      </w:r>
      <w:proofErr w:type="gramEnd"/>
      <w:r>
        <w:rPr>
          <w:rFonts w:ascii="Times New Roman" w:hAnsi="Times New Roman"/>
          <w:color w:val="000000"/>
          <w:sz w:val="26"/>
          <w:szCs w:val="26"/>
        </w:rPr>
        <w:t xml:space="preserve"> dõi các hoạt động của Ban Giám đốc và các công việc quản lý điều hành khác, phối hợp với Ban kiểm soát Công ty kiểm tra các vấn đề;</w:t>
      </w:r>
    </w:p>
    <w:p w:rsidR="00824136" w:rsidRDefault="00824136" w:rsidP="00824136">
      <w:pPr>
        <w:pStyle w:val="BodyText"/>
        <w:rPr>
          <w:rFonts w:ascii="Times New Roman" w:hAnsi="Times New Roman"/>
          <w:color w:val="000000"/>
          <w:sz w:val="26"/>
          <w:szCs w:val="26"/>
        </w:rPr>
      </w:pPr>
      <w:r>
        <w:rPr>
          <w:rFonts w:ascii="Times New Roman" w:hAnsi="Times New Roman"/>
          <w:color w:val="000000"/>
          <w:sz w:val="26"/>
          <w:szCs w:val="26"/>
        </w:rPr>
        <w:tab/>
        <w:t>- Thực hiện các chỉ tiêu kế hoạch Đại hội cổ đông và HĐQT đề ra;</w:t>
      </w:r>
    </w:p>
    <w:p w:rsidR="00824136" w:rsidRDefault="00824136" w:rsidP="00824136">
      <w:pPr>
        <w:pStyle w:val="BodyText"/>
        <w:rPr>
          <w:rFonts w:ascii="Times New Roman" w:hAnsi="Times New Roman"/>
          <w:color w:val="000000"/>
          <w:sz w:val="26"/>
          <w:szCs w:val="26"/>
        </w:rPr>
      </w:pPr>
      <w:r>
        <w:rPr>
          <w:rFonts w:ascii="Times New Roman" w:hAnsi="Times New Roman"/>
          <w:color w:val="000000"/>
          <w:sz w:val="26"/>
          <w:szCs w:val="26"/>
        </w:rPr>
        <w:tab/>
        <w:t>- Các nội dung thực hiện Nghị quyết Đại hội đồng cổ đông, HĐQT và các quyết định HĐQT đã ban hành về tiến độ và các biện pháp thực hiện;</w:t>
      </w:r>
    </w:p>
    <w:p w:rsidR="00824136" w:rsidRDefault="00824136" w:rsidP="00824136">
      <w:pPr>
        <w:pStyle w:val="BodyText"/>
        <w:rPr>
          <w:rFonts w:ascii="Times New Roman" w:hAnsi="Times New Roman"/>
          <w:color w:val="000000"/>
          <w:sz w:val="26"/>
          <w:szCs w:val="26"/>
        </w:rPr>
      </w:pPr>
      <w:r>
        <w:rPr>
          <w:rFonts w:ascii="Times New Roman" w:hAnsi="Times New Roman"/>
          <w:color w:val="000000"/>
          <w:sz w:val="26"/>
          <w:szCs w:val="26"/>
        </w:rPr>
        <w:tab/>
        <w:t>- HĐQT thường xuyên xem xét, đánh giá việc thực hiện kế hoạch kinh doanh và các chỉ tiêu kinh tế để có biện pháp chỉ đạo kịp thời Ban Giám đốc đáp ứng các yêu cầu về nguồn lực cho các hoạt động của Công ty;</w:t>
      </w:r>
    </w:p>
    <w:p w:rsidR="00824136" w:rsidRDefault="00824136" w:rsidP="00824136">
      <w:pPr>
        <w:pStyle w:val="BodyText"/>
        <w:rPr>
          <w:rFonts w:ascii="Times New Roman" w:hAnsi="Times New Roman"/>
          <w:color w:val="000000"/>
          <w:sz w:val="26"/>
          <w:szCs w:val="26"/>
        </w:rPr>
      </w:pPr>
      <w:r>
        <w:rPr>
          <w:rFonts w:ascii="Times New Roman" w:hAnsi="Times New Roman"/>
          <w:color w:val="000000"/>
          <w:sz w:val="26"/>
          <w:szCs w:val="26"/>
        </w:rPr>
        <w:tab/>
        <w:t>- Kiểm tra việc chấp hành và tuân thủ các quy định của Luật doanh nghiệp, Điều lệ Công ty và các quy định hiện hành của Nhà nước.</w:t>
      </w:r>
    </w:p>
    <w:p w:rsidR="00824136" w:rsidRPr="00924BA6" w:rsidRDefault="00824136" w:rsidP="00824136">
      <w:pPr>
        <w:pStyle w:val="BodyText"/>
        <w:ind w:left="720"/>
        <w:rPr>
          <w:rFonts w:ascii="Times New Roman" w:hAnsi="Times New Roman"/>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Hoạt động của các tiểu ban thuộc Hội đồng quản trị:</w:t>
      </w:r>
      <w:r>
        <w:rPr>
          <w:rFonts w:ascii="Times New Roman" w:hAnsi="Times New Roman"/>
          <w:color w:val="000000"/>
          <w:sz w:val="26"/>
          <w:szCs w:val="26"/>
        </w:rPr>
        <w:t xml:space="preserve"> Không có</w:t>
      </w:r>
    </w:p>
    <w:p w:rsidR="00824136" w:rsidRDefault="00824136" w:rsidP="00824136">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 xml:space="preserve">II. Các nghị quyết </w:t>
      </w:r>
      <w:r>
        <w:rPr>
          <w:rFonts w:ascii="Times New Roman" w:hAnsi="Times New Roman"/>
          <w:b/>
          <w:color w:val="000000"/>
          <w:sz w:val="26"/>
          <w:szCs w:val="26"/>
        </w:rPr>
        <w:t xml:space="preserve">/Quyết định </w:t>
      </w:r>
      <w:r w:rsidRPr="00924BA6">
        <w:rPr>
          <w:rFonts w:ascii="Times New Roman" w:hAnsi="Times New Roman"/>
          <w:b/>
          <w:color w:val="000000"/>
          <w:sz w:val="26"/>
          <w:szCs w:val="26"/>
        </w:rPr>
        <w:t>của Hội đồng quản trị:</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82"/>
        <w:gridCol w:w="1440"/>
        <w:gridCol w:w="5490"/>
      </w:tblGrid>
      <w:tr w:rsidR="00824136" w:rsidRPr="00924BA6" w:rsidTr="00311575">
        <w:tc>
          <w:tcPr>
            <w:tcW w:w="708"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lastRenderedPageBreak/>
              <w:t>STT</w:t>
            </w:r>
          </w:p>
        </w:tc>
        <w:tc>
          <w:tcPr>
            <w:tcW w:w="2082"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824136" w:rsidRPr="00924BA6" w:rsidRDefault="00824136" w:rsidP="00311575">
            <w:pPr>
              <w:pStyle w:val="BodyText"/>
              <w:jc w:val="center"/>
              <w:rPr>
                <w:rFonts w:ascii="Times New Roman" w:hAnsi="Times New Roman"/>
                <w:b/>
                <w:color w:val="000000"/>
                <w:sz w:val="26"/>
                <w:szCs w:val="26"/>
              </w:rPr>
            </w:pPr>
            <w:r>
              <w:rPr>
                <w:rFonts w:ascii="Times New Roman" w:hAnsi="Times New Roman"/>
                <w:b/>
                <w:color w:val="000000"/>
                <w:sz w:val="26"/>
                <w:szCs w:val="26"/>
              </w:rPr>
              <w:t>Ngày</w:t>
            </w:r>
          </w:p>
        </w:tc>
        <w:tc>
          <w:tcPr>
            <w:tcW w:w="5490" w:type="dxa"/>
          </w:tcPr>
          <w:p w:rsidR="00824136" w:rsidRPr="00924BA6" w:rsidRDefault="00824136" w:rsidP="00311575">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824136" w:rsidRPr="00924BA6" w:rsidTr="00311575">
        <w:tc>
          <w:tcPr>
            <w:tcW w:w="708" w:type="dxa"/>
          </w:tcPr>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1</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2</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3</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4</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6</w:t>
            </w:r>
          </w:p>
          <w:p w:rsidR="00824136" w:rsidRDefault="00824136" w:rsidP="00311575">
            <w:pPr>
              <w:pStyle w:val="BodyText"/>
              <w:rPr>
                <w:rFonts w:ascii="Times New Roman" w:hAnsi="Times New Roman"/>
                <w:color w:val="000000"/>
                <w:sz w:val="26"/>
                <w:szCs w:val="26"/>
              </w:rPr>
            </w:pPr>
          </w:p>
          <w:p w:rsidR="002264BA" w:rsidRDefault="002264BA" w:rsidP="00311575">
            <w:pPr>
              <w:pStyle w:val="BodyText"/>
              <w:rPr>
                <w:rFonts w:ascii="Times New Roman" w:hAnsi="Times New Roman"/>
                <w:color w:val="000000"/>
                <w:sz w:val="26"/>
                <w:szCs w:val="26"/>
              </w:rPr>
            </w:pPr>
          </w:p>
          <w:p w:rsidR="002264BA" w:rsidRDefault="002264BA"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7</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8</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Pr="00924BA6" w:rsidRDefault="00824136" w:rsidP="00311575">
            <w:pPr>
              <w:pStyle w:val="BodyText"/>
              <w:rPr>
                <w:rFonts w:ascii="Times New Roman" w:hAnsi="Times New Roman"/>
                <w:color w:val="000000"/>
                <w:sz w:val="26"/>
                <w:szCs w:val="26"/>
              </w:rPr>
            </w:pPr>
          </w:p>
        </w:tc>
        <w:tc>
          <w:tcPr>
            <w:tcW w:w="2082" w:type="dxa"/>
          </w:tcPr>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lastRenderedPageBreak/>
              <w:t>Số 01/NQ-HĐQT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824136" w:rsidRDefault="000521A6" w:rsidP="00311575">
            <w:pPr>
              <w:pStyle w:val="BodyText"/>
              <w:rPr>
                <w:rFonts w:ascii="Times New Roman" w:hAnsi="Times New Roman"/>
                <w:color w:val="000000"/>
                <w:sz w:val="26"/>
                <w:szCs w:val="26"/>
              </w:rPr>
            </w:pPr>
            <w:r>
              <w:rPr>
                <w:rFonts w:ascii="Times New Roman" w:hAnsi="Times New Roman"/>
                <w:color w:val="000000"/>
                <w:sz w:val="26"/>
                <w:szCs w:val="26"/>
              </w:rPr>
              <w:t>03</w:t>
            </w:r>
            <w:r w:rsidR="00824136">
              <w:rPr>
                <w:rFonts w:ascii="Times New Roman" w:hAnsi="Times New Roman"/>
                <w:color w:val="000000"/>
                <w:sz w:val="26"/>
                <w:szCs w:val="26"/>
              </w:rPr>
              <w:t>/QĐ-HĐQT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5A0FE7" w:rsidP="00311575">
            <w:pPr>
              <w:pStyle w:val="BodyText"/>
              <w:rPr>
                <w:rFonts w:ascii="Times New Roman" w:hAnsi="Times New Roman"/>
                <w:color w:val="000000"/>
                <w:sz w:val="26"/>
                <w:szCs w:val="26"/>
              </w:rPr>
            </w:pPr>
            <w:r>
              <w:rPr>
                <w:rFonts w:ascii="Times New Roman" w:hAnsi="Times New Roman"/>
                <w:color w:val="000000"/>
                <w:sz w:val="26"/>
                <w:szCs w:val="26"/>
              </w:rPr>
              <w:t>04</w:t>
            </w:r>
            <w:r w:rsidR="00824136">
              <w:rPr>
                <w:rFonts w:ascii="Times New Roman" w:hAnsi="Times New Roman"/>
                <w:color w:val="000000"/>
                <w:sz w:val="26"/>
                <w:szCs w:val="26"/>
              </w:rPr>
              <w:t>/NQ-HĐQT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05/NQ</w:t>
            </w:r>
            <w:r w:rsidR="00824136">
              <w:rPr>
                <w:rFonts w:ascii="Times New Roman" w:hAnsi="Times New Roman"/>
                <w:color w:val="000000"/>
                <w:sz w:val="26"/>
                <w:szCs w:val="26"/>
              </w:rPr>
              <w:t>-HĐQT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01/QĐ</w:t>
            </w:r>
            <w:r w:rsidR="00824136">
              <w:rPr>
                <w:rFonts w:ascii="Times New Roman" w:hAnsi="Times New Roman"/>
                <w:color w:val="000000"/>
                <w:sz w:val="26"/>
                <w:szCs w:val="26"/>
              </w:rPr>
              <w:t>-HĐQT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02/QĐ</w:t>
            </w:r>
            <w:r w:rsidR="00824136">
              <w:rPr>
                <w:rFonts w:ascii="Times New Roman" w:hAnsi="Times New Roman"/>
                <w:color w:val="000000"/>
                <w:sz w:val="26"/>
                <w:szCs w:val="26"/>
              </w:rPr>
              <w:t>-HĐQT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03/QĐ-HĐQT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r>
              <w:rPr>
                <w:rFonts w:ascii="Times New Roman" w:hAnsi="Times New Roman"/>
                <w:color w:val="000000"/>
                <w:sz w:val="26"/>
                <w:szCs w:val="26"/>
              </w:rPr>
              <w:t>04/QĐ-HĐQT</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Pr="00924BA6" w:rsidRDefault="00824136" w:rsidP="00311575">
            <w:pPr>
              <w:pStyle w:val="BodyText"/>
              <w:rPr>
                <w:rFonts w:ascii="Times New Roman" w:hAnsi="Times New Roman"/>
                <w:color w:val="000000"/>
                <w:sz w:val="26"/>
                <w:szCs w:val="26"/>
              </w:rPr>
            </w:pPr>
          </w:p>
        </w:tc>
        <w:tc>
          <w:tcPr>
            <w:tcW w:w="1440" w:type="dxa"/>
          </w:tcPr>
          <w:p w:rsidR="00824136" w:rsidRDefault="00606BA8" w:rsidP="00311575">
            <w:pPr>
              <w:pStyle w:val="BodyText"/>
              <w:rPr>
                <w:rFonts w:ascii="Times New Roman" w:hAnsi="Times New Roman"/>
                <w:color w:val="000000"/>
                <w:sz w:val="26"/>
                <w:szCs w:val="26"/>
              </w:rPr>
            </w:pPr>
            <w:r>
              <w:rPr>
                <w:rFonts w:ascii="Times New Roman" w:hAnsi="Times New Roman"/>
                <w:color w:val="000000"/>
                <w:sz w:val="26"/>
                <w:szCs w:val="26"/>
              </w:rPr>
              <w:lastRenderedPageBreak/>
              <w:t>08/01/2015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0521A6" w:rsidRDefault="000521A6" w:rsidP="00311575">
            <w:pPr>
              <w:pStyle w:val="BodyText"/>
              <w:rPr>
                <w:rFonts w:ascii="Times New Roman" w:hAnsi="Times New Roman"/>
                <w:color w:val="000000"/>
                <w:sz w:val="26"/>
                <w:szCs w:val="26"/>
              </w:rPr>
            </w:pPr>
          </w:p>
          <w:p w:rsidR="00824136" w:rsidRDefault="000521A6" w:rsidP="00311575">
            <w:pPr>
              <w:pStyle w:val="BodyText"/>
              <w:rPr>
                <w:rFonts w:ascii="Times New Roman" w:hAnsi="Times New Roman"/>
                <w:color w:val="000000"/>
                <w:sz w:val="26"/>
                <w:szCs w:val="26"/>
              </w:rPr>
            </w:pPr>
            <w:r>
              <w:rPr>
                <w:rFonts w:ascii="Times New Roman" w:hAnsi="Times New Roman"/>
                <w:color w:val="000000"/>
                <w:sz w:val="26"/>
                <w:szCs w:val="26"/>
              </w:rPr>
              <w:t>01/02/2015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4E61FC" w:rsidRDefault="004E61FC"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5A0FE7" w:rsidP="00311575">
            <w:pPr>
              <w:pStyle w:val="BodyText"/>
              <w:rPr>
                <w:rFonts w:ascii="Times New Roman" w:hAnsi="Times New Roman"/>
                <w:color w:val="000000"/>
                <w:sz w:val="26"/>
                <w:szCs w:val="26"/>
              </w:rPr>
            </w:pPr>
            <w:r>
              <w:rPr>
                <w:rFonts w:ascii="Times New Roman" w:hAnsi="Times New Roman"/>
                <w:color w:val="000000"/>
                <w:sz w:val="26"/>
                <w:szCs w:val="26"/>
              </w:rPr>
              <w:t>29/03/2015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1C5FC4" w:rsidRDefault="001C5FC4"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01/04/2015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690962" w:rsidRDefault="00690962"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10/04/2015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690962" w:rsidP="00311575">
            <w:pPr>
              <w:pStyle w:val="BodyText"/>
              <w:rPr>
                <w:rFonts w:ascii="Times New Roman" w:hAnsi="Times New Roman"/>
                <w:color w:val="000000"/>
                <w:sz w:val="26"/>
                <w:szCs w:val="26"/>
              </w:rPr>
            </w:pPr>
            <w:r>
              <w:rPr>
                <w:rFonts w:ascii="Times New Roman" w:hAnsi="Times New Roman"/>
                <w:color w:val="000000"/>
                <w:sz w:val="26"/>
                <w:szCs w:val="26"/>
              </w:rPr>
              <w:t>16/04/2015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Default="002264BA" w:rsidP="00311575">
            <w:pPr>
              <w:pStyle w:val="BodyText"/>
              <w:rPr>
                <w:rFonts w:ascii="Times New Roman" w:hAnsi="Times New Roman"/>
                <w:color w:val="000000"/>
                <w:sz w:val="26"/>
                <w:szCs w:val="26"/>
              </w:rPr>
            </w:pPr>
            <w:r>
              <w:rPr>
                <w:rFonts w:ascii="Times New Roman" w:hAnsi="Times New Roman"/>
                <w:color w:val="000000"/>
                <w:sz w:val="26"/>
                <w:szCs w:val="26"/>
              </w:rPr>
              <w:t>10/4/2015</w:t>
            </w:r>
          </w:p>
          <w:p w:rsidR="00824136" w:rsidRDefault="00824136" w:rsidP="00311575">
            <w:pPr>
              <w:pStyle w:val="BodyText"/>
              <w:rPr>
                <w:rFonts w:ascii="Times New Roman" w:hAnsi="Times New Roman"/>
                <w:color w:val="000000"/>
                <w:sz w:val="26"/>
                <w:szCs w:val="26"/>
              </w:rPr>
            </w:pPr>
          </w:p>
          <w:p w:rsidR="00824136" w:rsidRDefault="00824136" w:rsidP="00311575">
            <w:pPr>
              <w:pStyle w:val="BodyText"/>
              <w:rPr>
                <w:rFonts w:ascii="Times New Roman" w:hAnsi="Times New Roman"/>
                <w:color w:val="000000"/>
                <w:sz w:val="26"/>
                <w:szCs w:val="26"/>
              </w:rPr>
            </w:pPr>
          </w:p>
          <w:p w:rsidR="00824136" w:rsidRPr="00924BA6" w:rsidRDefault="002264BA" w:rsidP="00311575">
            <w:pPr>
              <w:pStyle w:val="BodyText"/>
              <w:rPr>
                <w:rFonts w:ascii="Times New Roman" w:hAnsi="Times New Roman"/>
                <w:color w:val="000000"/>
                <w:sz w:val="26"/>
                <w:szCs w:val="26"/>
              </w:rPr>
            </w:pPr>
            <w:r>
              <w:rPr>
                <w:rFonts w:ascii="Times New Roman" w:hAnsi="Times New Roman"/>
                <w:color w:val="000000"/>
                <w:sz w:val="26"/>
                <w:szCs w:val="26"/>
              </w:rPr>
              <w:t>18/5/2015</w:t>
            </w:r>
          </w:p>
        </w:tc>
        <w:tc>
          <w:tcPr>
            <w:tcW w:w="5490" w:type="dxa"/>
          </w:tcPr>
          <w:p w:rsidR="00824136" w:rsidRDefault="00606BA8" w:rsidP="005A0FE7">
            <w:pPr>
              <w:jc w:val="center"/>
              <w:rPr>
                <w:sz w:val="26"/>
                <w:szCs w:val="26"/>
              </w:rPr>
            </w:pPr>
            <w:r>
              <w:rPr>
                <w:sz w:val="26"/>
                <w:szCs w:val="26"/>
              </w:rPr>
              <w:lastRenderedPageBreak/>
              <w:t>Về việc mua cổ phiếu làm cổ phi</w:t>
            </w:r>
            <w:r w:rsidR="00A41ABA">
              <w:rPr>
                <w:sz w:val="26"/>
                <w:szCs w:val="26"/>
              </w:rPr>
              <w:t>ếu quỹ năm 2015</w:t>
            </w:r>
          </w:p>
          <w:p w:rsidR="004E61FC" w:rsidRDefault="00311575" w:rsidP="004E61FC">
            <w:pPr>
              <w:rPr>
                <w:sz w:val="26"/>
                <w:szCs w:val="26"/>
              </w:rPr>
            </w:pPr>
            <w:r>
              <w:rPr>
                <w:sz w:val="26"/>
                <w:szCs w:val="26"/>
              </w:rPr>
              <w:t>1. Thông qua phương án mua lại cổ phiếu làm cổ phiếu quỹ với nội dung cơ bản sau:</w:t>
            </w:r>
          </w:p>
          <w:p w:rsidR="004E61FC" w:rsidRDefault="00311575" w:rsidP="004E61FC">
            <w:pPr>
              <w:rPr>
                <w:sz w:val="26"/>
                <w:szCs w:val="26"/>
              </w:rPr>
            </w:pPr>
            <w:r>
              <w:rPr>
                <w:sz w:val="26"/>
                <w:szCs w:val="26"/>
              </w:rPr>
              <w:t>- Khối lượng mua: 900.000 cổ phiếu, chiếm 7,14% tổng số cổ phiếu đang lưu hành;</w:t>
            </w:r>
          </w:p>
          <w:p w:rsidR="00311575" w:rsidRDefault="00311575" w:rsidP="004E61FC">
            <w:pPr>
              <w:rPr>
                <w:sz w:val="26"/>
                <w:szCs w:val="26"/>
              </w:rPr>
            </w:pPr>
            <w:r>
              <w:rPr>
                <w:sz w:val="26"/>
                <w:szCs w:val="26"/>
              </w:rPr>
              <w:t>- Thời gian trong tháng 01 và 2 năm 2015;</w:t>
            </w:r>
          </w:p>
          <w:p w:rsidR="00311575" w:rsidRDefault="00311575" w:rsidP="004E61FC">
            <w:pPr>
              <w:rPr>
                <w:sz w:val="26"/>
                <w:szCs w:val="26"/>
              </w:rPr>
            </w:pPr>
            <w:r>
              <w:rPr>
                <w:sz w:val="26"/>
                <w:szCs w:val="26"/>
              </w:rPr>
              <w:t>- Nguồn mua: Thặng dụ vốn cổ phần, quỹ đầu tư phát triển sản xuất, lợi nhuận sau thuế chưa phân phối.</w:t>
            </w:r>
          </w:p>
          <w:p w:rsidR="00311575" w:rsidRDefault="00311575" w:rsidP="005A0FE7">
            <w:pPr>
              <w:jc w:val="center"/>
              <w:rPr>
                <w:sz w:val="26"/>
                <w:szCs w:val="26"/>
              </w:rPr>
            </w:pPr>
            <w:r>
              <w:rPr>
                <w:sz w:val="26"/>
                <w:szCs w:val="26"/>
              </w:rPr>
              <w:t>- Giá mua: không vượt quá 66.000đồng/cổ phiếu</w:t>
            </w:r>
          </w:p>
          <w:p w:rsidR="004E61FC" w:rsidRDefault="00311575" w:rsidP="004E61FC">
            <w:pPr>
              <w:rPr>
                <w:sz w:val="26"/>
                <w:szCs w:val="26"/>
              </w:rPr>
            </w:pPr>
            <w:r>
              <w:rPr>
                <w:sz w:val="26"/>
                <w:szCs w:val="26"/>
              </w:rPr>
              <w:t>- Mục đích mua lại cổ phiếu: Để bình ổn giá cổ phiếu.</w:t>
            </w:r>
          </w:p>
          <w:p w:rsidR="00311575" w:rsidRDefault="00311575" w:rsidP="004E61FC">
            <w:pPr>
              <w:rPr>
                <w:sz w:val="26"/>
                <w:szCs w:val="26"/>
              </w:rPr>
            </w:pPr>
            <w:r>
              <w:rPr>
                <w:sz w:val="26"/>
                <w:szCs w:val="26"/>
              </w:rPr>
              <w:t>- Tổng giá trị dự kiến: 59.400.000.000đồng</w:t>
            </w:r>
          </w:p>
          <w:p w:rsidR="00311575" w:rsidRDefault="00311575" w:rsidP="004E61FC">
            <w:pPr>
              <w:rPr>
                <w:sz w:val="26"/>
                <w:szCs w:val="26"/>
              </w:rPr>
            </w:pPr>
            <w:r>
              <w:rPr>
                <w:sz w:val="26"/>
                <w:szCs w:val="26"/>
              </w:rPr>
              <w:t>- Phương thức giao dịch: Mua theo phương thức khớp lệnh hoặc thỏa thuận. Trong trường hợp đối tác chào bán lô lớn, có thể mua theo thỏa thuận theo phương thức thỏa thuận lô lớn.</w:t>
            </w:r>
          </w:p>
          <w:p w:rsidR="004E61FC" w:rsidRDefault="002C1D83" w:rsidP="004E61FC">
            <w:pPr>
              <w:rPr>
                <w:sz w:val="26"/>
                <w:szCs w:val="26"/>
              </w:rPr>
            </w:pPr>
            <w:r>
              <w:rPr>
                <w:sz w:val="26"/>
                <w:szCs w:val="26"/>
              </w:rPr>
              <w:t xml:space="preserve">2. HĐQT giao </w:t>
            </w:r>
            <w:proofErr w:type="gramStart"/>
            <w:r>
              <w:rPr>
                <w:sz w:val="26"/>
                <w:szCs w:val="26"/>
              </w:rPr>
              <w:t xml:space="preserve">BGĐ </w:t>
            </w:r>
            <w:r w:rsidR="00311575">
              <w:rPr>
                <w:sz w:val="26"/>
                <w:szCs w:val="26"/>
              </w:rPr>
              <w:t xml:space="preserve"> công</w:t>
            </w:r>
            <w:proofErr w:type="gramEnd"/>
            <w:r w:rsidR="00311575">
              <w:rPr>
                <w:sz w:val="26"/>
                <w:szCs w:val="26"/>
              </w:rPr>
              <w:t xml:space="preserve"> ty chỉ đạo các đơn vị tổ chức thực hiện Nghị quyết này, đảm bảo tuân thủ các quy định của pháp luật và phù hợp với tình hình tài chính của công ty.</w:t>
            </w:r>
          </w:p>
          <w:p w:rsidR="00311575" w:rsidRDefault="00311575" w:rsidP="004E61FC">
            <w:pPr>
              <w:rPr>
                <w:sz w:val="26"/>
                <w:szCs w:val="26"/>
              </w:rPr>
            </w:pPr>
            <w:r>
              <w:rPr>
                <w:sz w:val="26"/>
                <w:szCs w:val="26"/>
              </w:rPr>
              <w:t>3. Nghị quyết này</w:t>
            </w:r>
            <w:r w:rsidR="000521A6">
              <w:rPr>
                <w:sz w:val="26"/>
                <w:szCs w:val="26"/>
              </w:rPr>
              <w:t xml:space="preserve"> thay thế cho Nghị quyết số 10/NQ-HĐQT, ngày 24/12/2014 của HĐQT về việc mua lại cổ phiếu làm cổ phiếu quỹ năm 2015</w:t>
            </w:r>
            <w:r w:rsidR="004E61FC">
              <w:rPr>
                <w:sz w:val="26"/>
                <w:szCs w:val="26"/>
              </w:rPr>
              <w:t>.</w:t>
            </w:r>
          </w:p>
          <w:p w:rsidR="00690962" w:rsidRDefault="00690962" w:rsidP="005A0FE7">
            <w:pPr>
              <w:tabs>
                <w:tab w:val="left" w:pos="927"/>
              </w:tabs>
              <w:autoSpaceDE w:val="0"/>
              <w:autoSpaceDN w:val="0"/>
              <w:adjustRightInd w:val="0"/>
              <w:spacing w:before="120" w:after="120"/>
              <w:jc w:val="center"/>
              <w:rPr>
                <w:color w:val="000000"/>
                <w:sz w:val="26"/>
                <w:szCs w:val="26"/>
              </w:rPr>
            </w:pPr>
          </w:p>
          <w:p w:rsidR="000521A6" w:rsidRDefault="000521A6" w:rsidP="005A0FE7">
            <w:pPr>
              <w:tabs>
                <w:tab w:val="left" w:pos="927"/>
              </w:tabs>
              <w:autoSpaceDE w:val="0"/>
              <w:autoSpaceDN w:val="0"/>
              <w:adjustRightInd w:val="0"/>
              <w:spacing w:before="120" w:after="120"/>
              <w:jc w:val="center"/>
              <w:rPr>
                <w:color w:val="000000"/>
                <w:sz w:val="26"/>
                <w:szCs w:val="26"/>
              </w:rPr>
            </w:pPr>
            <w:r>
              <w:rPr>
                <w:color w:val="000000"/>
                <w:sz w:val="26"/>
                <w:szCs w:val="26"/>
              </w:rPr>
              <w:t>Nghị quyết phiên họp thường kỳ tháng 01/2015</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Thông qua báo cáo kết quả điều hành sản xuất kinh doanh năm 2014 của BGĐ.</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Thông qua các nội dung trình đại hội đồng cổ đông năm 2015 gồm:</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Kế hoạch sản xuất kinh doanh năm 2015;</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Thông qua nội dung các báo cáo của BGĐ và BKS;</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Tờ trình phương án phân phối lợi nhuận năm 2014;</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Tờ trình quyết toán thù lao năm 2014 và kế hoạch thù lao cho HĐQT,BKS năm 2015;</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Tờ trình lựa chọn đơn vị kiểm toán báo cáo tài chính năm 2015;</w:t>
            </w:r>
          </w:p>
          <w:p w:rsidR="004E61FC" w:rsidRDefault="004E61FC" w:rsidP="004E61FC">
            <w:pPr>
              <w:tabs>
                <w:tab w:val="left" w:pos="927"/>
              </w:tabs>
              <w:autoSpaceDE w:val="0"/>
              <w:autoSpaceDN w:val="0"/>
              <w:adjustRightInd w:val="0"/>
              <w:spacing w:before="120" w:after="120"/>
              <w:rPr>
                <w:color w:val="000000"/>
                <w:sz w:val="26"/>
                <w:szCs w:val="26"/>
              </w:rPr>
            </w:pPr>
            <w:r>
              <w:rPr>
                <w:color w:val="000000"/>
                <w:sz w:val="26"/>
                <w:szCs w:val="26"/>
              </w:rPr>
              <w:t>+ Nội dung sửa đổi điều lệ</w:t>
            </w:r>
          </w:p>
          <w:p w:rsidR="00824136" w:rsidRDefault="00824136" w:rsidP="005A0FE7">
            <w:pPr>
              <w:autoSpaceDE w:val="0"/>
              <w:autoSpaceDN w:val="0"/>
              <w:adjustRightInd w:val="0"/>
              <w:jc w:val="center"/>
              <w:rPr>
                <w:sz w:val="26"/>
                <w:szCs w:val="26"/>
              </w:rPr>
            </w:pPr>
          </w:p>
          <w:p w:rsidR="000521A6" w:rsidRDefault="000521A6" w:rsidP="005A0FE7">
            <w:pPr>
              <w:autoSpaceDE w:val="0"/>
              <w:autoSpaceDN w:val="0"/>
              <w:adjustRightInd w:val="0"/>
              <w:jc w:val="center"/>
              <w:rPr>
                <w:sz w:val="26"/>
                <w:szCs w:val="26"/>
              </w:rPr>
            </w:pPr>
          </w:p>
          <w:p w:rsidR="00824136" w:rsidRDefault="00824136" w:rsidP="004E61FC">
            <w:pPr>
              <w:autoSpaceDE w:val="0"/>
              <w:autoSpaceDN w:val="0"/>
              <w:adjustRightInd w:val="0"/>
              <w:rPr>
                <w:sz w:val="26"/>
                <w:szCs w:val="26"/>
              </w:rPr>
            </w:pPr>
            <w:r>
              <w:rPr>
                <w:sz w:val="26"/>
                <w:szCs w:val="26"/>
              </w:rPr>
              <w:t>Nghị quyết Đại hội đồ</w:t>
            </w:r>
            <w:r w:rsidR="005A0FE7">
              <w:rPr>
                <w:sz w:val="26"/>
                <w:szCs w:val="26"/>
              </w:rPr>
              <w:t>ng cổ đông thường niên năm 2015</w:t>
            </w:r>
          </w:p>
          <w:p w:rsidR="00824136" w:rsidRPr="00043CBD" w:rsidRDefault="00824136" w:rsidP="004E61FC">
            <w:pPr>
              <w:autoSpaceDE w:val="0"/>
              <w:autoSpaceDN w:val="0"/>
              <w:adjustRightInd w:val="0"/>
              <w:rPr>
                <w:sz w:val="26"/>
                <w:szCs w:val="26"/>
              </w:rPr>
            </w:pPr>
            <w:r w:rsidRPr="00043CBD">
              <w:rPr>
                <w:b/>
                <w:bCs/>
                <w:sz w:val="26"/>
                <w:szCs w:val="26"/>
              </w:rPr>
              <w:t>Điều 1</w:t>
            </w:r>
            <w:r w:rsidRPr="00043CBD">
              <w:rPr>
                <w:sz w:val="26"/>
                <w:szCs w:val="26"/>
              </w:rPr>
              <w:t>.</w:t>
            </w:r>
            <w:r w:rsidRPr="00043CBD">
              <w:rPr>
                <w:b/>
                <w:bCs/>
                <w:sz w:val="26"/>
                <w:szCs w:val="26"/>
              </w:rPr>
              <w:t xml:space="preserve"> </w:t>
            </w:r>
            <w:r w:rsidRPr="00043CBD">
              <w:rPr>
                <w:sz w:val="26"/>
                <w:szCs w:val="26"/>
              </w:rPr>
              <w:t xml:space="preserve">Thông qua Báo cáo kết </w:t>
            </w:r>
            <w:r w:rsidR="00690962">
              <w:rPr>
                <w:sz w:val="26"/>
                <w:szCs w:val="26"/>
              </w:rPr>
              <w:t>năm</w:t>
            </w:r>
            <w:r w:rsidRPr="00043CBD">
              <w:rPr>
                <w:sz w:val="26"/>
                <w:szCs w:val="26"/>
              </w:rPr>
              <w:t xml:space="preserve"> hoạt động S</w:t>
            </w:r>
            <w:r w:rsidR="005A0FE7">
              <w:rPr>
                <w:sz w:val="26"/>
                <w:szCs w:val="26"/>
              </w:rPr>
              <w:t>XKD, công tác điều hành năm 2014</w:t>
            </w:r>
            <w:r w:rsidR="004E61FC">
              <w:rPr>
                <w:sz w:val="26"/>
                <w:szCs w:val="26"/>
              </w:rPr>
              <w:t xml:space="preserve"> của Ban </w:t>
            </w:r>
            <w:r w:rsidRPr="00043CBD">
              <w:rPr>
                <w:sz w:val="26"/>
                <w:szCs w:val="26"/>
              </w:rPr>
              <w:t>giám đốc Công ty trình</w:t>
            </w:r>
            <w:r>
              <w:rPr>
                <w:sz w:val="26"/>
                <w:szCs w:val="26"/>
              </w:rPr>
              <w:t xml:space="preserve"> Đ</w:t>
            </w:r>
            <w:r w:rsidRPr="00043CBD">
              <w:rPr>
                <w:sz w:val="26"/>
                <w:szCs w:val="26"/>
              </w:rPr>
              <w:t>ại hội.</w:t>
            </w:r>
          </w:p>
          <w:p w:rsidR="00824136" w:rsidRPr="00043CBD" w:rsidRDefault="00824136" w:rsidP="004E61FC">
            <w:pPr>
              <w:autoSpaceDE w:val="0"/>
              <w:autoSpaceDN w:val="0"/>
              <w:adjustRightInd w:val="0"/>
              <w:rPr>
                <w:sz w:val="26"/>
                <w:szCs w:val="26"/>
              </w:rPr>
            </w:pPr>
            <w:r w:rsidRPr="00043CBD">
              <w:rPr>
                <w:b/>
                <w:bCs/>
                <w:sz w:val="26"/>
                <w:szCs w:val="26"/>
              </w:rPr>
              <w:t>Điều 2</w:t>
            </w:r>
            <w:r w:rsidRPr="00043CBD">
              <w:rPr>
                <w:sz w:val="26"/>
                <w:szCs w:val="26"/>
              </w:rPr>
              <w:t xml:space="preserve">. Thông qua Báo cáo hoạt động của Hội đồng </w:t>
            </w:r>
            <w:r w:rsidR="00690962">
              <w:rPr>
                <w:sz w:val="26"/>
                <w:szCs w:val="26"/>
              </w:rPr>
              <w:t>năm</w:t>
            </w:r>
            <w:r w:rsidRPr="00043CBD">
              <w:rPr>
                <w:sz w:val="26"/>
                <w:szCs w:val="26"/>
              </w:rPr>
              <w:t>n tr</w:t>
            </w:r>
            <w:r w:rsidR="005A0FE7">
              <w:rPr>
                <w:sz w:val="26"/>
                <w:szCs w:val="26"/>
              </w:rPr>
              <w:t>ị năm 2014</w:t>
            </w:r>
            <w:r w:rsidRPr="00043CBD">
              <w:rPr>
                <w:sz w:val="26"/>
                <w:szCs w:val="26"/>
              </w:rPr>
              <w:t xml:space="preserve"> và kế hoạch hoạt độn</w:t>
            </w:r>
            <w:r w:rsidR="005A0FE7">
              <w:rPr>
                <w:sz w:val="26"/>
                <w:szCs w:val="26"/>
              </w:rPr>
              <w:t xml:space="preserve">g của Hội đồng </w:t>
            </w:r>
            <w:r w:rsidR="00690962">
              <w:rPr>
                <w:sz w:val="26"/>
                <w:szCs w:val="26"/>
              </w:rPr>
              <w:t>năm</w:t>
            </w:r>
            <w:r w:rsidR="005A0FE7">
              <w:rPr>
                <w:sz w:val="26"/>
                <w:szCs w:val="26"/>
              </w:rPr>
              <w:t>n trị năm 2015</w:t>
            </w:r>
            <w:r w:rsidRPr="00043CBD">
              <w:rPr>
                <w:sz w:val="26"/>
                <w:szCs w:val="26"/>
              </w:rPr>
              <w:t xml:space="preserve"> do Chủ tịch HĐQT trình</w:t>
            </w:r>
            <w:r>
              <w:rPr>
                <w:sz w:val="26"/>
                <w:szCs w:val="26"/>
              </w:rPr>
              <w:t xml:space="preserve"> Đ</w:t>
            </w:r>
            <w:r w:rsidRPr="00043CBD">
              <w:rPr>
                <w:sz w:val="26"/>
                <w:szCs w:val="26"/>
              </w:rPr>
              <w:t>ại hội.</w:t>
            </w:r>
          </w:p>
          <w:p w:rsidR="00824136" w:rsidRPr="00043CBD" w:rsidRDefault="00824136" w:rsidP="001C5FC4">
            <w:pPr>
              <w:autoSpaceDE w:val="0"/>
              <w:autoSpaceDN w:val="0"/>
              <w:adjustRightInd w:val="0"/>
              <w:rPr>
                <w:sz w:val="26"/>
                <w:szCs w:val="26"/>
              </w:rPr>
            </w:pPr>
            <w:r w:rsidRPr="00043CBD">
              <w:rPr>
                <w:b/>
                <w:bCs/>
                <w:sz w:val="26"/>
                <w:szCs w:val="26"/>
              </w:rPr>
              <w:t>Điều 3</w:t>
            </w:r>
            <w:r w:rsidRPr="00043CBD">
              <w:rPr>
                <w:sz w:val="26"/>
                <w:szCs w:val="26"/>
              </w:rPr>
              <w:t>. Thông qua Báo cáo hoạt động củ</w:t>
            </w:r>
            <w:r w:rsidR="005A0FE7">
              <w:rPr>
                <w:sz w:val="26"/>
                <w:szCs w:val="26"/>
              </w:rPr>
              <w:t>a Ban kiểm soát Công ty năm 2014</w:t>
            </w:r>
            <w:r w:rsidRPr="00043CBD">
              <w:rPr>
                <w:sz w:val="26"/>
                <w:szCs w:val="26"/>
              </w:rPr>
              <w:t xml:space="preserve"> và kế hoạch hoạt</w:t>
            </w:r>
            <w:r w:rsidR="005A0FE7">
              <w:rPr>
                <w:sz w:val="26"/>
                <w:szCs w:val="26"/>
              </w:rPr>
              <w:t xml:space="preserve"> động của Ban kiểm soát năm 2015</w:t>
            </w:r>
            <w:r>
              <w:rPr>
                <w:sz w:val="26"/>
                <w:szCs w:val="26"/>
              </w:rPr>
              <w:t xml:space="preserve"> do Trưởng Ban kiểm soát trình Đ</w:t>
            </w:r>
            <w:r w:rsidRPr="00043CBD">
              <w:rPr>
                <w:sz w:val="26"/>
                <w:szCs w:val="26"/>
              </w:rPr>
              <w:t>ại hội.</w:t>
            </w:r>
          </w:p>
          <w:p w:rsidR="00824136" w:rsidRPr="00043CBD" w:rsidRDefault="00824136" w:rsidP="001C5FC4">
            <w:pPr>
              <w:autoSpaceDE w:val="0"/>
              <w:autoSpaceDN w:val="0"/>
              <w:adjustRightInd w:val="0"/>
              <w:rPr>
                <w:sz w:val="26"/>
                <w:szCs w:val="26"/>
              </w:rPr>
            </w:pPr>
            <w:r w:rsidRPr="00043CBD">
              <w:rPr>
                <w:b/>
                <w:bCs/>
                <w:sz w:val="26"/>
                <w:szCs w:val="26"/>
              </w:rPr>
              <w:t>Điều 4</w:t>
            </w:r>
            <w:r w:rsidRPr="00043CBD">
              <w:rPr>
                <w:sz w:val="26"/>
                <w:szCs w:val="26"/>
              </w:rPr>
              <w:t>. Thôn</w:t>
            </w:r>
            <w:r w:rsidR="005A0FE7">
              <w:rPr>
                <w:sz w:val="26"/>
                <w:szCs w:val="26"/>
              </w:rPr>
              <w:t>g qua Báo cáo tài chính năm 2014</w:t>
            </w:r>
            <w:r w:rsidRPr="00043CBD">
              <w:rPr>
                <w:sz w:val="26"/>
                <w:szCs w:val="26"/>
              </w:rPr>
              <w:t xml:space="preserve"> của Công ty do </w:t>
            </w:r>
            <w:r>
              <w:rPr>
                <w:sz w:val="26"/>
                <w:szCs w:val="26"/>
              </w:rPr>
              <w:t xml:space="preserve">Công ty </w:t>
            </w:r>
            <w:r w:rsidR="005A0FE7">
              <w:rPr>
                <w:sz w:val="26"/>
                <w:szCs w:val="26"/>
              </w:rPr>
              <w:t>TNHH Deloitte</w:t>
            </w:r>
            <w:r w:rsidRPr="00043CBD">
              <w:rPr>
                <w:sz w:val="26"/>
                <w:szCs w:val="26"/>
              </w:rPr>
              <w:t xml:space="preserve"> kiểm toán.</w:t>
            </w:r>
          </w:p>
          <w:p w:rsidR="00824136" w:rsidRDefault="00824136" w:rsidP="001C5FC4">
            <w:pPr>
              <w:autoSpaceDE w:val="0"/>
              <w:autoSpaceDN w:val="0"/>
              <w:adjustRightInd w:val="0"/>
              <w:spacing w:line="276" w:lineRule="auto"/>
              <w:rPr>
                <w:sz w:val="26"/>
                <w:szCs w:val="26"/>
              </w:rPr>
            </w:pPr>
            <w:r w:rsidRPr="00043CBD">
              <w:rPr>
                <w:b/>
                <w:bCs/>
                <w:sz w:val="26"/>
                <w:szCs w:val="26"/>
              </w:rPr>
              <w:t>Điều 5.</w:t>
            </w:r>
            <w:r w:rsidRPr="00043CBD">
              <w:rPr>
                <w:sz w:val="26"/>
                <w:szCs w:val="26"/>
              </w:rPr>
              <w:t xml:space="preserve">  Thông qua ph</w:t>
            </w:r>
            <w:r w:rsidRPr="00043CBD">
              <w:rPr>
                <w:sz w:val="26"/>
                <w:szCs w:val="26"/>
                <w:lang w:val="vi-VN"/>
              </w:rPr>
              <w:t>ương án phân phối lợi nhuận và cổ tức năm 201</w:t>
            </w:r>
            <w:r w:rsidR="005A0FE7">
              <w:rPr>
                <w:sz w:val="26"/>
                <w:szCs w:val="26"/>
              </w:rPr>
              <w:t>4</w:t>
            </w:r>
            <w:r w:rsidRPr="00043CBD">
              <w:rPr>
                <w:sz w:val="26"/>
                <w:szCs w:val="26"/>
              </w:rPr>
              <w:t xml:space="preserve"> như sau:</w:t>
            </w:r>
          </w:p>
          <w:p w:rsidR="001C5FC4" w:rsidRDefault="001C5FC4" w:rsidP="001C5FC4">
            <w:pPr>
              <w:autoSpaceDE w:val="0"/>
              <w:autoSpaceDN w:val="0"/>
              <w:adjustRightInd w:val="0"/>
              <w:spacing w:line="276" w:lineRule="auto"/>
              <w:rPr>
                <w:sz w:val="26"/>
                <w:szCs w:val="26"/>
              </w:rPr>
            </w:pPr>
            <w:r>
              <w:rPr>
                <w:sz w:val="26"/>
                <w:szCs w:val="26"/>
              </w:rPr>
              <w:t>- Cổ tức trả bằng tiền mặt: 20% (đã tạm ứng 15%)</w:t>
            </w:r>
          </w:p>
          <w:p w:rsidR="001C5FC4" w:rsidRDefault="001C5FC4" w:rsidP="001C5FC4">
            <w:pPr>
              <w:autoSpaceDE w:val="0"/>
              <w:autoSpaceDN w:val="0"/>
              <w:adjustRightInd w:val="0"/>
              <w:spacing w:line="276" w:lineRule="auto"/>
              <w:rPr>
                <w:sz w:val="26"/>
                <w:szCs w:val="26"/>
              </w:rPr>
            </w:pPr>
            <w:r>
              <w:rPr>
                <w:sz w:val="26"/>
                <w:szCs w:val="26"/>
              </w:rPr>
              <w:t>- Trích quỹ khen thưởng phúc lợi: 3.379.284.000đ</w:t>
            </w:r>
          </w:p>
          <w:p w:rsidR="001C5FC4" w:rsidRPr="00043CBD" w:rsidRDefault="001C5FC4" w:rsidP="001C5FC4">
            <w:pPr>
              <w:autoSpaceDE w:val="0"/>
              <w:autoSpaceDN w:val="0"/>
              <w:adjustRightInd w:val="0"/>
              <w:spacing w:line="276" w:lineRule="auto"/>
              <w:rPr>
                <w:sz w:val="26"/>
                <w:szCs w:val="26"/>
              </w:rPr>
            </w:pPr>
            <w:r>
              <w:rPr>
                <w:sz w:val="26"/>
                <w:szCs w:val="26"/>
              </w:rPr>
              <w:t>- Trích quỹ đầu tư phát triển: 2.839.598.479 đ</w:t>
            </w:r>
          </w:p>
          <w:p w:rsidR="00824136" w:rsidRPr="00043CBD" w:rsidRDefault="00824136" w:rsidP="001C5FC4">
            <w:pPr>
              <w:autoSpaceDE w:val="0"/>
              <w:autoSpaceDN w:val="0"/>
              <w:adjustRightInd w:val="0"/>
              <w:rPr>
                <w:sz w:val="26"/>
                <w:szCs w:val="26"/>
              </w:rPr>
            </w:pPr>
            <w:r w:rsidRPr="00043CBD">
              <w:rPr>
                <w:b/>
                <w:bCs/>
                <w:sz w:val="26"/>
                <w:szCs w:val="26"/>
              </w:rPr>
              <w:t>Điều 6</w:t>
            </w:r>
            <w:r w:rsidRPr="00043CBD">
              <w:rPr>
                <w:sz w:val="26"/>
                <w:szCs w:val="26"/>
              </w:rPr>
              <w:t>. Thông qua kế hoạch sản xuất k</w:t>
            </w:r>
            <w:r w:rsidR="005A0FE7">
              <w:rPr>
                <w:sz w:val="26"/>
                <w:szCs w:val="26"/>
              </w:rPr>
              <w:t>inh doanh và trả cổ tức năm 2015</w:t>
            </w:r>
            <w:r w:rsidRPr="00043CBD">
              <w:rPr>
                <w:sz w:val="26"/>
                <w:szCs w:val="26"/>
              </w:rPr>
              <w:t>: Mức trả cổ tức tối</w:t>
            </w:r>
            <w:r w:rsidR="005A0FE7">
              <w:rPr>
                <w:sz w:val="26"/>
                <w:szCs w:val="26"/>
              </w:rPr>
              <w:t xml:space="preserve"> thiểu 2</w:t>
            </w:r>
            <w:r w:rsidRPr="00043CBD">
              <w:rPr>
                <w:sz w:val="26"/>
                <w:szCs w:val="26"/>
              </w:rPr>
              <w:t>0</w:t>
            </w:r>
            <w:proofErr w:type="gramStart"/>
            <w:r w:rsidRPr="00043CBD">
              <w:rPr>
                <w:sz w:val="26"/>
                <w:szCs w:val="26"/>
              </w:rPr>
              <w:t>% .</w:t>
            </w:r>
            <w:proofErr w:type="gramEnd"/>
            <w:r w:rsidRPr="00043CBD">
              <w:rPr>
                <w:sz w:val="26"/>
                <w:szCs w:val="26"/>
              </w:rPr>
              <w:t xml:space="preserve"> Ủy quyền cho Hội đồng </w:t>
            </w:r>
            <w:r w:rsidR="00690962">
              <w:rPr>
                <w:sz w:val="26"/>
                <w:szCs w:val="26"/>
              </w:rPr>
              <w:t>năm</w:t>
            </w:r>
            <w:r w:rsidR="001C5FC4">
              <w:rPr>
                <w:sz w:val="26"/>
                <w:szCs w:val="26"/>
              </w:rPr>
              <w:t xml:space="preserve">n trị quyết định </w:t>
            </w:r>
            <w:r w:rsidRPr="00043CBD">
              <w:rPr>
                <w:sz w:val="26"/>
                <w:szCs w:val="26"/>
              </w:rPr>
              <w:t xml:space="preserve">thời gian và mức tạm ứng cổ tức.Ủy quyền cho HĐQT được tạm trích 5% từ lợi nhuận sau thuế hàng quý </w:t>
            </w:r>
            <w:r>
              <w:rPr>
                <w:sz w:val="26"/>
                <w:szCs w:val="26"/>
              </w:rPr>
              <w:t>n</w:t>
            </w:r>
            <w:r w:rsidRPr="00CB5286">
              <w:rPr>
                <w:sz w:val="26"/>
                <w:szCs w:val="26"/>
              </w:rPr>
              <w:t>ă</w:t>
            </w:r>
            <w:r w:rsidR="005A0FE7">
              <w:rPr>
                <w:sz w:val="26"/>
                <w:szCs w:val="26"/>
              </w:rPr>
              <w:t>m 2015</w:t>
            </w:r>
            <w:r>
              <w:rPr>
                <w:sz w:val="26"/>
                <w:szCs w:val="26"/>
              </w:rPr>
              <w:t xml:space="preserve"> </w:t>
            </w:r>
            <w:r w:rsidRPr="00043CBD">
              <w:rPr>
                <w:sz w:val="26"/>
                <w:szCs w:val="26"/>
              </w:rPr>
              <w:t>vào Quỹ khen thưởng phúc lợi</w:t>
            </w:r>
            <w:r>
              <w:rPr>
                <w:sz w:val="26"/>
                <w:szCs w:val="26"/>
              </w:rPr>
              <w:t>.</w:t>
            </w:r>
          </w:p>
          <w:p w:rsidR="00824136" w:rsidRPr="00043CBD" w:rsidRDefault="00824136" w:rsidP="001C5FC4">
            <w:pPr>
              <w:autoSpaceDE w:val="0"/>
              <w:autoSpaceDN w:val="0"/>
              <w:adjustRightInd w:val="0"/>
              <w:rPr>
                <w:sz w:val="26"/>
                <w:szCs w:val="26"/>
              </w:rPr>
            </w:pPr>
            <w:r w:rsidRPr="00043CBD">
              <w:rPr>
                <w:b/>
                <w:bCs/>
                <w:sz w:val="26"/>
                <w:szCs w:val="26"/>
              </w:rPr>
              <w:t>Điều 7</w:t>
            </w:r>
            <w:r w:rsidRPr="00043CBD">
              <w:rPr>
                <w:sz w:val="26"/>
                <w:szCs w:val="26"/>
              </w:rPr>
              <w:t>. Thông qua Quyết toán thù lao cho HĐQT và Ban kiểm soát</w:t>
            </w:r>
            <w:r w:rsidR="005A0FE7">
              <w:rPr>
                <w:sz w:val="26"/>
                <w:szCs w:val="26"/>
              </w:rPr>
              <w:t xml:space="preserve"> năm 2014</w:t>
            </w:r>
            <w:r w:rsidRPr="00043CBD">
              <w:rPr>
                <w:sz w:val="26"/>
                <w:szCs w:val="26"/>
              </w:rPr>
              <w:t xml:space="preserve"> và kế hoạch thù lao cho HĐQT, </w:t>
            </w:r>
            <w:r w:rsidR="005A0FE7">
              <w:rPr>
                <w:sz w:val="26"/>
                <w:szCs w:val="26"/>
              </w:rPr>
              <w:t>thư ký và Ban kiểm soát năm 2015</w:t>
            </w:r>
            <w:r w:rsidRPr="00043CBD">
              <w:rPr>
                <w:sz w:val="26"/>
                <w:szCs w:val="26"/>
              </w:rPr>
              <w:t xml:space="preserve"> là  972 triệu</w:t>
            </w:r>
            <w:r w:rsidR="002C1D83">
              <w:rPr>
                <w:sz w:val="26"/>
                <w:szCs w:val="26"/>
              </w:rPr>
              <w:t xml:space="preserve"> đồng</w:t>
            </w:r>
            <w:r w:rsidRPr="00043CBD">
              <w:rPr>
                <w:sz w:val="26"/>
                <w:szCs w:val="26"/>
              </w:rPr>
              <w:t>. Giao cho HĐQT xây dựng mức trả thù lao ch</w:t>
            </w:r>
            <w:r w:rsidR="001C5FC4">
              <w:rPr>
                <w:sz w:val="26"/>
                <w:szCs w:val="26"/>
              </w:rPr>
              <w:t>o HĐQT, thư ký</w:t>
            </w:r>
            <w:r w:rsidR="002C1D83">
              <w:rPr>
                <w:sz w:val="26"/>
                <w:szCs w:val="26"/>
              </w:rPr>
              <w:t xml:space="preserve"> và Ban kiểm soát là 816 triệu </w:t>
            </w:r>
            <w:r w:rsidR="001C5FC4">
              <w:rPr>
                <w:sz w:val="26"/>
                <w:szCs w:val="26"/>
              </w:rPr>
              <w:t>đồng</w:t>
            </w:r>
          </w:p>
          <w:p w:rsidR="00824136" w:rsidRPr="00043CBD" w:rsidRDefault="00824136" w:rsidP="001C5FC4">
            <w:pPr>
              <w:autoSpaceDE w:val="0"/>
              <w:autoSpaceDN w:val="0"/>
              <w:adjustRightInd w:val="0"/>
              <w:rPr>
                <w:sz w:val="26"/>
                <w:szCs w:val="26"/>
              </w:rPr>
            </w:pPr>
            <w:r w:rsidRPr="00043CBD">
              <w:rPr>
                <w:b/>
                <w:bCs/>
                <w:sz w:val="26"/>
                <w:szCs w:val="26"/>
              </w:rPr>
              <w:t>Điều 8.</w:t>
            </w:r>
            <w:r w:rsidRPr="00043CBD">
              <w:rPr>
                <w:sz w:val="26"/>
                <w:szCs w:val="26"/>
              </w:rPr>
              <w:t xml:space="preserve"> </w:t>
            </w:r>
            <w:r w:rsidR="001C5FC4">
              <w:rPr>
                <w:sz w:val="26"/>
                <w:szCs w:val="26"/>
              </w:rPr>
              <w:t>Bổ nhiệm công ty TNHH</w:t>
            </w:r>
            <w:r w:rsidRPr="00043CBD">
              <w:rPr>
                <w:sz w:val="26"/>
                <w:szCs w:val="26"/>
              </w:rPr>
              <w:t xml:space="preserve"> Deloitte kiểm toán báo cáo tài chính năm 20</w:t>
            </w:r>
            <w:r w:rsidR="001C5FC4">
              <w:rPr>
                <w:sz w:val="26"/>
                <w:szCs w:val="26"/>
              </w:rPr>
              <w:t>15</w:t>
            </w:r>
          </w:p>
          <w:p w:rsidR="00824136" w:rsidRPr="00043CBD" w:rsidRDefault="00824136" w:rsidP="001C5FC4">
            <w:pPr>
              <w:autoSpaceDE w:val="0"/>
              <w:autoSpaceDN w:val="0"/>
              <w:adjustRightInd w:val="0"/>
              <w:rPr>
                <w:sz w:val="26"/>
                <w:szCs w:val="26"/>
              </w:rPr>
            </w:pPr>
            <w:r w:rsidRPr="00043CBD">
              <w:rPr>
                <w:b/>
                <w:sz w:val="26"/>
                <w:szCs w:val="26"/>
              </w:rPr>
              <w:t>Điều 9</w:t>
            </w:r>
            <w:r>
              <w:rPr>
                <w:sz w:val="26"/>
                <w:szCs w:val="26"/>
              </w:rPr>
              <w:t>. Thông qua các nội dung bổ s</w:t>
            </w:r>
            <w:r w:rsidRPr="00043CBD">
              <w:rPr>
                <w:sz w:val="26"/>
                <w:szCs w:val="26"/>
              </w:rPr>
              <w:t>ung, chỉnh sửa Điều lệ hoạt động của Công ty theo nội dung tờ trình của HĐQT. Giao cho HĐQT hoàn thiện để ban hành.</w:t>
            </w:r>
          </w:p>
          <w:p w:rsidR="00824136" w:rsidRPr="00043CBD" w:rsidRDefault="00824136" w:rsidP="001C5FC4">
            <w:pPr>
              <w:autoSpaceDE w:val="0"/>
              <w:autoSpaceDN w:val="0"/>
              <w:adjustRightInd w:val="0"/>
              <w:rPr>
                <w:sz w:val="26"/>
                <w:szCs w:val="26"/>
                <w:lang w:val="vi-VN"/>
              </w:rPr>
            </w:pPr>
            <w:r w:rsidRPr="00043CBD">
              <w:rPr>
                <w:b/>
                <w:bCs/>
                <w:sz w:val="26"/>
                <w:szCs w:val="26"/>
              </w:rPr>
              <w:t>Điều 10</w:t>
            </w:r>
            <w:r w:rsidRPr="00043CBD">
              <w:rPr>
                <w:sz w:val="26"/>
                <w:szCs w:val="26"/>
              </w:rPr>
              <w:t xml:space="preserve">. Nghị quyết này được </w:t>
            </w:r>
            <w:r>
              <w:rPr>
                <w:sz w:val="26"/>
                <w:szCs w:val="26"/>
              </w:rPr>
              <w:t>thông qua tại Đ</w:t>
            </w:r>
            <w:r w:rsidRPr="00043CBD">
              <w:rPr>
                <w:sz w:val="26"/>
                <w:szCs w:val="26"/>
              </w:rPr>
              <w:t>ại hội, các cổ đông, các thành viên HĐQT, thành viên BKS, Ban Giám đốc và toàn thể cán bộ công nhân viên, ng</w:t>
            </w:r>
            <w:r w:rsidRPr="00043CBD">
              <w:rPr>
                <w:sz w:val="26"/>
                <w:szCs w:val="26"/>
                <w:lang w:val="vi-VN"/>
              </w:rPr>
              <w:t xml:space="preserve">ười lao động </w:t>
            </w:r>
            <w:r w:rsidRPr="00043CBD">
              <w:rPr>
                <w:sz w:val="26"/>
                <w:szCs w:val="26"/>
              </w:rPr>
              <w:t xml:space="preserve">trong </w:t>
            </w:r>
            <w:r w:rsidRPr="00043CBD">
              <w:rPr>
                <w:sz w:val="26"/>
                <w:szCs w:val="26"/>
                <w:lang w:val="vi-VN"/>
              </w:rPr>
              <w:t xml:space="preserve">Công ty có trách </w:t>
            </w:r>
            <w:r w:rsidRPr="00043CBD">
              <w:rPr>
                <w:sz w:val="26"/>
                <w:szCs w:val="26"/>
                <w:lang w:val="vi-VN"/>
              </w:rPr>
              <w:lastRenderedPageBreak/>
              <w:t>nhiệm thực</w:t>
            </w:r>
            <w:r w:rsidRPr="00043CBD">
              <w:rPr>
                <w:sz w:val="26"/>
                <w:szCs w:val="26"/>
              </w:rPr>
              <w:t xml:space="preserve"> hiện </w:t>
            </w:r>
            <w:r w:rsidRPr="00043CBD">
              <w:rPr>
                <w:sz w:val="26"/>
                <w:szCs w:val="26"/>
                <w:lang w:val="vi-VN"/>
              </w:rPr>
              <w:t>Nghị quyết này./.</w:t>
            </w:r>
          </w:p>
          <w:p w:rsidR="00824136" w:rsidRDefault="00824136" w:rsidP="005A0FE7">
            <w:pPr>
              <w:autoSpaceDE w:val="0"/>
              <w:autoSpaceDN w:val="0"/>
              <w:adjustRightInd w:val="0"/>
              <w:jc w:val="center"/>
              <w:rPr>
                <w:sz w:val="26"/>
                <w:szCs w:val="26"/>
              </w:rPr>
            </w:pPr>
          </w:p>
          <w:p w:rsidR="00690962" w:rsidRDefault="00690962" w:rsidP="00690962">
            <w:pPr>
              <w:autoSpaceDE w:val="0"/>
              <w:autoSpaceDN w:val="0"/>
              <w:adjustRightInd w:val="0"/>
              <w:rPr>
                <w:sz w:val="26"/>
                <w:szCs w:val="26"/>
              </w:rPr>
            </w:pPr>
            <w:r>
              <w:rPr>
                <w:sz w:val="26"/>
                <w:szCs w:val="26"/>
              </w:rPr>
              <w:t>Nghị quyết về thanh toán cổ tức đợt 2 năm 2014 bằng tiền mặt</w:t>
            </w:r>
          </w:p>
          <w:p w:rsidR="00690962" w:rsidRDefault="00690962" w:rsidP="00690962">
            <w:pPr>
              <w:autoSpaceDE w:val="0"/>
              <w:autoSpaceDN w:val="0"/>
              <w:adjustRightInd w:val="0"/>
              <w:rPr>
                <w:sz w:val="26"/>
                <w:szCs w:val="26"/>
              </w:rPr>
            </w:pPr>
            <w:r>
              <w:rPr>
                <w:sz w:val="26"/>
                <w:szCs w:val="26"/>
              </w:rPr>
              <w:t>- Thông qua kế hoạch thanh toán cổ tức đợt 2 năm 2014 bằng tiền mặt:</w:t>
            </w:r>
          </w:p>
          <w:p w:rsidR="00690962" w:rsidRDefault="00690962" w:rsidP="00690962">
            <w:pPr>
              <w:autoSpaceDE w:val="0"/>
              <w:autoSpaceDN w:val="0"/>
              <w:adjustRightInd w:val="0"/>
              <w:rPr>
                <w:sz w:val="26"/>
                <w:szCs w:val="26"/>
              </w:rPr>
            </w:pPr>
            <w:r>
              <w:rPr>
                <w:sz w:val="26"/>
                <w:szCs w:val="26"/>
              </w:rPr>
              <w:t>Tỷ lệ thực hiện: 5%/cổ phần (01 cổ phần nhận 500 đồng)</w:t>
            </w:r>
          </w:p>
          <w:p w:rsidR="00690962" w:rsidRDefault="00690962" w:rsidP="00690962">
            <w:pPr>
              <w:autoSpaceDE w:val="0"/>
              <w:autoSpaceDN w:val="0"/>
              <w:adjustRightInd w:val="0"/>
              <w:rPr>
                <w:sz w:val="26"/>
                <w:szCs w:val="26"/>
              </w:rPr>
            </w:pPr>
            <w:r>
              <w:rPr>
                <w:sz w:val="26"/>
                <w:szCs w:val="26"/>
              </w:rPr>
              <w:t>- Thời gian thực hiện: Trong tháng 5 năm 2015</w:t>
            </w:r>
          </w:p>
          <w:p w:rsidR="00690962" w:rsidRDefault="00690962" w:rsidP="005A0FE7">
            <w:pPr>
              <w:autoSpaceDE w:val="0"/>
              <w:autoSpaceDN w:val="0"/>
              <w:adjustRightInd w:val="0"/>
              <w:jc w:val="center"/>
              <w:rPr>
                <w:sz w:val="26"/>
                <w:szCs w:val="26"/>
              </w:rPr>
            </w:pPr>
          </w:p>
          <w:p w:rsidR="00690962" w:rsidRDefault="00690962" w:rsidP="00690962">
            <w:pPr>
              <w:autoSpaceDE w:val="0"/>
              <w:autoSpaceDN w:val="0"/>
              <w:adjustRightInd w:val="0"/>
              <w:rPr>
                <w:sz w:val="26"/>
                <w:szCs w:val="26"/>
              </w:rPr>
            </w:pPr>
            <w:r>
              <w:rPr>
                <w:sz w:val="26"/>
                <w:szCs w:val="26"/>
              </w:rPr>
              <w:t>Về mức thù lao cho thành viên HĐQT, BKS, Thư ký HĐQT năm 2015</w:t>
            </w:r>
          </w:p>
          <w:p w:rsidR="00690962" w:rsidRDefault="00690962" w:rsidP="00690962">
            <w:pPr>
              <w:autoSpaceDE w:val="0"/>
              <w:autoSpaceDN w:val="0"/>
              <w:adjustRightInd w:val="0"/>
              <w:rPr>
                <w:sz w:val="26"/>
                <w:szCs w:val="26"/>
              </w:rPr>
            </w:pPr>
          </w:p>
          <w:p w:rsidR="00690962" w:rsidRDefault="00690962" w:rsidP="00690962">
            <w:pPr>
              <w:autoSpaceDE w:val="0"/>
              <w:autoSpaceDN w:val="0"/>
              <w:adjustRightInd w:val="0"/>
              <w:rPr>
                <w:sz w:val="26"/>
                <w:szCs w:val="26"/>
              </w:rPr>
            </w:pPr>
            <w:r>
              <w:rPr>
                <w:sz w:val="26"/>
                <w:szCs w:val="26"/>
              </w:rPr>
              <w:t>Về việc Khen thưởng các cá nhân đat doanh hiệu</w:t>
            </w:r>
            <w:r w:rsidR="002264BA">
              <w:rPr>
                <w:sz w:val="26"/>
                <w:szCs w:val="26"/>
              </w:rPr>
              <w:t xml:space="preserve"> thi đua năm 2014 ( Trịnh Ngọc Hiếu, Đào Xuân Tuất, Đỗ Khắc Hùng)</w:t>
            </w:r>
          </w:p>
          <w:p w:rsidR="002264BA" w:rsidRDefault="002264BA" w:rsidP="00690962">
            <w:pPr>
              <w:autoSpaceDE w:val="0"/>
              <w:autoSpaceDN w:val="0"/>
              <w:adjustRightInd w:val="0"/>
              <w:rPr>
                <w:sz w:val="26"/>
                <w:szCs w:val="26"/>
              </w:rPr>
            </w:pPr>
          </w:p>
          <w:p w:rsidR="00690962" w:rsidRDefault="002264BA" w:rsidP="002264BA">
            <w:pPr>
              <w:autoSpaceDE w:val="0"/>
              <w:autoSpaceDN w:val="0"/>
              <w:adjustRightInd w:val="0"/>
              <w:rPr>
                <w:sz w:val="26"/>
                <w:szCs w:val="26"/>
              </w:rPr>
            </w:pPr>
            <w:r>
              <w:rPr>
                <w:sz w:val="26"/>
                <w:szCs w:val="26"/>
              </w:rPr>
              <w:t>Về việc xin ra hạn Giấy chứng nhận đầu tư</w:t>
            </w:r>
          </w:p>
          <w:p w:rsidR="00824136" w:rsidRDefault="00824136" w:rsidP="002264BA">
            <w:pPr>
              <w:autoSpaceDE w:val="0"/>
              <w:autoSpaceDN w:val="0"/>
              <w:adjustRightInd w:val="0"/>
              <w:rPr>
                <w:sz w:val="26"/>
                <w:szCs w:val="26"/>
              </w:rPr>
            </w:pPr>
          </w:p>
          <w:p w:rsidR="002264BA" w:rsidRDefault="002264BA" w:rsidP="002264BA">
            <w:pPr>
              <w:autoSpaceDE w:val="0"/>
              <w:autoSpaceDN w:val="0"/>
              <w:adjustRightInd w:val="0"/>
              <w:rPr>
                <w:sz w:val="26"/>
                <w:szCs w:val="26"/>
              </w:rPr>
            </w:pPr>
          </w:p>
          <w:p w:rsidR="002264BA" w:rsidRPr="008B1453" w:rsidRDefault="002264BA" w:rsidP="002264BA">
            <w:pPr>
              <w:autoSpaceDE w:val="0"/>
              <w:autoSpaceDN w:val="0"/>
              <w:adjustRightInd w:val="0"/>
              <w:rPr>
                <w:sz w:val="26"/>
                <w:szCs w:val="26"/>
              </w:rPr>
            </w:pPr>
            <w:r>
              <w:rPr>
                <w:sz w:val="26"/>
                <w:szCs w:val="26"/>
              </w:rPr>
              <w:t>Về việc tham gia hội thảo về antimon ở Trung Quốc</w:t>
            </w:r>
          </w:p>
        </w:tc>
      </w:tr>
    </w:tbl>
    <w:p w:rsidR="00824136" w:rsidRDefault="00824136" w:rsidP="00824136">
      <w:pPr>
        <w:pStyle w:val="BodyText"/>
        <w:spacing w:before="120" w:after="120"/>
        <w:ind w:firstLine="360"/>
        <w:rPr>
          <w:rFonts w:ascii="Times New Roman" w:hAnsi="Times New Roman"/>
          <w:b/>
          <w:color w:val="000000"/>
          <w:sz w:val="26"/>
          <w:szCs w:val="26"/>
        </w:rPr>
      </w:pPr>
    </w:p>
    <w:p w:rsidR="00824136" w:rsidRDefault="00824136" w:rsidP="00824136">
      <w:pPr>
        <w:pStyle w:val="BodyText"/>
        <w:spacing w:before="120" w:after="120"/>
        <w:ind w:firstLine="360"/>
        <w:rPr>
          <w:rFonts w:ascii="Times New Roman" w:hAnsi="Times New Roman"/>
          <w:b/>
          <w:color w:val="000000"/>
          <w:sz w:val="26"/>
          <w:szCs w:val="26"/>
        </w:rPr>
      </w:pPr>
      <w:r>
        <w:rPr>
          <w:rFonts w:ascii="Times New Roman" w:hAnsi="Times New Roman"/>
          <w:b/>
          <w:color w:val="000000"/>
          <w:sz w:val="26"/>
          <w:szCs w:val="26"/>
        </w:rPr>
        <w:t xml:space="preserve">III. Thay đổi danh sách về người có liên quan của Công ty niêm yết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w:t>
      </w:r>
    </w:p>
    <w:tbl>
      <w:tblPr>
        <w:tblStyle w:val="TableGrid"/>
        <w:tblW w:w="10541" w:type="dxa"/>
        <w:tblInd w:w="-702" w:type="dxa"/>
        <w:tblLayout w:type="fixed"/>
        <w:tblLook w:val="04A0"/>
      </w:tblPr>
      <w:tblGrid>
        <w:gridCol w:w="718"/>
        <w:gridCol w:w="1082"/>
        <w:gridCol w:w="990"/>
        <w:gridCol w:w="1170"/>
        <w:gridCol w:w="1080"/>
        <w:gridCol w:w="990"/>
        <w:gridCol w:w="990"/>
        <w:gridCol w:w="900"/>
        <w:gridCol w:w="900"/>
        <w:gridCol w:w="990"/>
        <w:gridCol w:w="731"/>
      </w:tblGrid>
      <w:tr w:rsidR="00824136" w:rsidTr="00311575">
        <w:tc>
          <w:tcPr>
            <w:tcW w:w="718"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STT</w:t>
            </w:r>
          </w:p>
        </w:tc>
        <w:tc>
          <w:tcPr>
            <w:tcW w:w="1082"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Tên tổ chức/các nhân</w:t>
            </w:r>
          </w:p>
        </w:tc>
        <w:tc>
          <w:tcPr>
            <w:tcW w:w="99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Tài khoản giao dịch chứng khoán (nếu có)</w:t>
            </w:r>
          </w:p>
        </w:tc>
        <w:tc>
          <w:tcPr>
            <w:tcW w:w="117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Chức vụ tại công ty (nếu có)</w:t>
            </w:r>
          </w:p>
        </w:tc>
        <w:tc>
          <w:tcPr>
            <w:tcW w:w="108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Số CMND/ĐKKD</w:t>
            </w:r>
          </w:p>
        </w:tc>
        <w:tc>
          <w:tcPr>
            <w:tcW w:w="99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Ngày cấp</w:t>
            </w:r>
          </w:p>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CMND/</w:t>
            </w:r>
          </w:p>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ĐKKD</w:t>
            </w:r>
          </w:p>
        </w:tc>
        <w:tc>
          <w:tcPr>
            <w:tcW w:w="99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Nơi cấp</w:t>
            </w:r>
          </w:p>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CMND/</w:t>
            </w:r>
          </w:p>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ĐKKD</w:t>
            </w:r>
          </w:p>
        </w:tc>
        <w:tc>
          <w:tcPr>
            <w:tcW w:w="90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Địa chỉ</w:t>
            </w:r>
          </w:p>
        </w:tc>
        <w:tc>
          <w:tcPr>
            <w:tcW w:w="900" w:type="dxa"/>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Thời điểm bắt đầu là người có liên quan</w:t>
            </w:r>
          </w:p>
        </w:tc>
        <w:tc>
          <w:tcPr>
            <w:tcW w:w="990" w:type="dxa"/>
            <w:tcBorders>
              <w:right w:val="single" w:sz="4" w:space="0" w:color="auto"/>
            </w:tcBorders>
            <w:vAlign w:val="center"/>
          </w:tcPr>
          <w:p w:rsidR="00824136" w:rsidRDefault="00824136" w:rsidP="00311575">
            <w:pPr>
              <w:pStyle w:val="BodyText"/>
              <w:spacing w:before="120" w:after="120"/>
              <w:jc w:val="center"/>
              <w:rPr>
                <w:rFonts w:ascii="Times New Roman" w:hAnsi="Times New Roman"/>
                <w:b/>
                <w:color w:val="000000"/>
                <w:sz w:val="26"/>
                <w:szCs w:val="26"/>
              </w:rPr>
            </w:pPr>
            <w:r>
              <w:rPr>
                <w:rFonts w:ascii="Times New Roman" w:hAnsi="Times New Roman"/>
                <w:b/>
                <w:color w:val="000000"/>
                <w:sz w:val="26"/>
                <w:szCs w:val="26"/>
              </w:rPr>
              <w:t>Thời điểm không còn là người có liên quan</w:t>
            </w:r>
          </w:p>
        </w:tc>
        <w:tc>
          <w:tcPr>
            <w:tcW w:w="731" w:type="dxa"/>
            <w:tcBorders>
              <w:left w:val="single" w:sz="4" w:space="0" w:color="auto"/>
            </w:tcBorders>
            <w:vAlign w:val="center"/>
          </w:tcPr>
          <w:p w:rsidR="00824136" w:rsidRDefault="00824136" w:rsidP="00311575">
            <w:pPr>
              <w:jc w:val="center"/>
              <w:rPr>
                <w:b/>
                <w:snapToGrid w:val="0"/>
                <w:color w:val="000000"/>
                <w:sz w:val="26"/>
                <w:szCs w:val="26"/>
              </w:rPr>
            </w:pPr>
          </w:p>
          <w:p w:rsidR="00824136" w:rsidRDefault="00824136" w:rsidP="00311575">
            <w:pPr>
              <w:jc w:val="center"/>
              <w:rPr>
                <w:b/>
                <w:snapToGrid w:val="0"/>
                <w:color w:val="000000"/>
                <w:sz w:val="26"/>
                <w:szCs w:val="26"/>
              </w:rPr>
            </w:pPr>
          </w:p>
          <w:p w:rsidR="00824136" w:rsidRDefault="00824136" w:rsidP="00311575">
            <w:pPr>
              <w:jc w:val="center"/>
              <w:rPr>
                <w:b/>
                <w:snapToGrid w:val="0"/>
                <w:color w:val="000000"/>
                <w:sz w:val="26"/>
                <w:szCs w:val="26"/>
              </w:rPr>
            </w:pPr>
            <w:r>
              <w:rPr>
                <w:b/>
                <w:snapToGrid w:val="0"/>
                <w:color w:val="000000"/>
                <w:sz w:val="26"/>
                <w:szCs w:val="26"/>
              </w:rPr>
              <w:t>Lý do</w:t>
            </w:r>
          </w:p>
          <w:p w:rsidR="00824136" w:rsidRDefault="00824136" w:rsidP="00311575">
            <w:pPr>
              <w:jc w:val="center"/>
              <w:rPr>
                <w:b/>
                <w:snapToGrid w:val="0"/>
                <w:color w:val="000000"/>
                <w:sz w:val="26"/>
                <w:szCs w:val="26"/>
              </w:rPr>
            </w:pPr>
          </w:p>
          <w:p w:rsidR="00824136" w:rsidRDefault="00824136" w:rsidP="00311575">
            <w:pPr>
              <w:pStyle w:val="BodyText"/>
              <w:spacing w:before="120" w:after="120"/>
              <w:jc w:val="center"/>
              <w:rPr>
                <w:rFonts w:ascii="Times New Roman" w:hAnsi="Times New Roman"/>
                <w:b/>
                <w:color w:val="000000"/>
                <w:sz w:val="26"/>
                <w:szCs w:val="26"/>
              </w:rPr>
            </w:pPr>
          </w:p>
        </w:tc>
      </w:tr>
      <w:tr w:rsidR="00824136" w:rsidTr="00311575">
        <w:tc>
          <w:tcPr>
            <w:tcW w:w="718" w:type="dxa"/>
          </w:tcPr>
          <w:p w:rsidR="00824136" w:rsidRDefault="00824136" w:rsidP="00311575">
            <w:pPr>
              <w:pStyle w:val="BodyText"/>
              <w:spacing w:before="120" w:after="120"/>
              <w:rPr>
                <w:rFonts w:ascii="Times New Roman" w:hAnsi="Times New Roman"/>
                <w:b/>
                <w:color w:val="000000"/>
                <w:sz w:val="26"/>
                <w:szCs w:val="26"/>
              </w:rPr>
            </w:pPr>
          </w:p>
        </w:tc>
        <w:tc>
          <w:tcPr>
            <w:tcW w:w="1082" w:type="dxa"/>
          </w:tcPr>
          <w:p w:rsidR="00824136" w:rsidRPr="00D3400E" w:rsidRDefault="00824136" w:rsidP="00311575">
            <w:pPr>
              <w:pStyle w:val="BodyText"/>
              <w:spacing w:before="120" w:after="120"/>
              <w:rPr>
                <w:rFonts w:ascii="Times New Roman" w:hAnsi="Times New Roman"/>
                <w:color w:val="000000"/>
                <w:sz w:val="26"/>
                <w:szCs w:val="26"/>
              </w:rPr>
            </w:pPr>
            <w:r w:rsidRPr="00D3400E">
              <w:rPr>
                <w:rFonts w:ascii="Times New Roman" w:hAnsi="Times New Roman"/>
                <w:color w:val="000000"/>
                <w:sz w:val="26"/>
                <w:szCs w:val="26"/>
              </w:rPr>
              <w:t>Không</w:t>
            </w:r>
          </w:p>
        </w:tc>
        <w:tc>
          <w:tcPr>
            <w:tcW w:w="990" w:type="dxa"/>
          </w:tcPr>
          <w:p w:rsidR="00824136" w:rsidRDefault="00824136" w:rsidP="00311575">
            <w:pPr>
              <w:pStyle w:val="BodyText"/>
              <w:spacing w:before="120" w:after="120"/>
              <w:rPr>
                <w:rFonts w:ascii="Times New Roman" w:hAnsi="Times New Roman"/>
                <w:b/>
                <w:color w:val="000000"/>
                <w:sz w:val="26"/>
                <w:szCs w:val="26"/>
              </w:rPr>
            </w:pPr>
          </w:p>
        </w:tc>
        <w:tc>
          <w:tcPr>
            <w:tcW w:w="1170" w:type="dxa"/>
          </w:tcPr>
          <w:p w:rsidR="00824136" w:rsidRDefault="00824136" w:rsidP="00311575">
            <w:pPr>
              <w:pStyle w:val="BodyText"/>
              <w:spacing w:before="120" w:after="120"/>
              <w:rPr>
                <w:rFonts w:ascii="Times New Roman" w:hAnsi="Times New Roman"/>
                <w:b/>
                <w:color w:val="000000"/>
                <w:sz w:val="26"/>
                <w:szCs w:val="26"/>
              </w:rPr>
            </w:pPr>
          </w:p>
        </w:tc>
        <w:tc>
          <w:tcPr>
            <w:tcW w:w="1080" w:type="dxa"/>
          </w:tcPr>
          <w:p w:rsidR="00824136" w:rsidRDefault="00824136" w:rsidP="00311575">
            <w:pPr>
              <w:pStyle w:val="BodyText"/>
              <w:spacing w:before="120" w:after="120"/>
              <w:rPr>
                <w:rFonts w:ascii="Times New Roman" w:hAnsi="Times New Roman"/>
                <w:b/>
                <w:color w:val="000000"/>
                <w:sz w:val="26"/>
                <w:szCs w:val="26"/>
              </w:rPr>
            </w:pPr>
          </w:p>
        </w:tc>
        <w:tc>
          <w:tcPr>
            <w:tcW w:w="990" w:type="dxa"/>
          </w:tcPr>
          <w:p w:rsidR="00824136" w:rsidRDefault="00824136" w:rsidP="00311575">
            <w:pPr>
              <w:pStyle w:val="BodyText"/>
              <w:spacing w:before="120" w:after="120"/>
              <w:rPr>
                <w:rFonts w:ascii="Times New Roman" w:hAnsi="Times New Roman"/>
                <w:b/>
                <w:color w:val="000000"/>
                <w:sz w:val="26"/>
                <w:szCs w:val="26"/>
              </w:rPr>
            </w:pPr>
          </w:p>
        </w:tc>
        <w:tc>
          <w:tcPr>
            <w:tcW w:w="990" w:type="dxa"/>
          </w:tcPr>
          <w:p w:rsidR="00824136" w:rsidRDefault="00824136" w:rsidP="00311575">
            <w:pPr>
              <w:pStyle w:val="BodyText"/>
              <w:spacing w:before="120" w:after="120"/>
              <w:rPr>
                <w:rFonts w:ascii="Times New Roman" w:hAnsi="Times New Roman"/>
                <w:b/>
                <w:color w:val="000000"/>
                <w:sz w:val="26"/>
                <w:szCs w:val="26"/>
              </w:rPr>
            </w:pPr>
          </w:p>
        </w:tc>
        <w:tc>
          <w:tcPr>
            <w:tcW w:w="900" w:type="dxa"/>
          </w:tcPr>
          <w:p w:rsidR="00824136" w:rsidRDefault="00824136" w:rsidP="00311575">
            <w:pPr>
              <w:pStyle w:val="BodyText"/>
              <w:spacing w:before="120" w:after="120"/>
              <w:rPr>
                <w:rFonts w:ascii="Times New Roman" w:hAnsi="Times New Roman"/>
                <w:b/>
                <w:color w:val="000000"/>
                <w:sz w:val="26"/>
                <w:szCs w:val="26"/>
              </w:rPr>
            </w:pPr>
          </w:p>
        </w:tc>
        <w:tc>
          <w:tcPr>
            <w:tcW w:w="900" w:type="dxa"/>
          </w:tcPr>
          <w:p w:rsidR="00824136" w:rsidRDefault="00824136" w:rsidP="00311575">
            <w:pPr>
              <w:pStyle w:val="BodyText"/>
              <w:spacing w:before="120" w:after="120"/>
              <w:rPr>
                <w:rFonts w:ascii="Times New Roman" w:hAnsi="Times New Roman"/>
                <w:b/>
                <w:color w:val="000000"/>
                <w:sz w:val="26"/>
                <w:szCs w:val="26"/>
              </w:rPr>
            </w:pPr>
          </w:p>
        </w:tc>
        <w:tc>
          <w:tcPr>
            <w:tcW w:w="990" w:type="dxa"/>
            <w:tcBorders>
              <w:right w:val="single" w:sz="4" w:space="0" w:color="auto"/>
            </w:tcBorders>
          </w:tcPr>
          <w:p w:rsidR="00824136" w:rsidRDefault="00824136" w:rsidP="00311575">
            <w:pPr>
              <w:pStyle w:val="BodyText"/>
              <w:spacing w:before="120" w:after="120"/>
              <w:rPr>
                <w:rFonts w:ascii="Times New Roman" w:hAnsi="Times New Roman"/>
                <w:b/>
                <w:color w:val="000000"/>
                <w:sz w:val="26"/>
                <w:szCs w:val="26"/>
              </w:rPr>
            </w:pPr>
          </w:p>
        </w:tc>
        <w:tc>
          <w:tcPr>
            <w:tcW w:w="731" w:type="dxa"/>
            <w:tcBorders>
              <w:left w:val="single" w:sz="4" w:space="0" w:color="auto"/>
            </w:tcBorders>
          </w:tcPr>
          <w:p w:rsidR="00824136" w:rsidRDefault="00824136" w:rsidP="00311575">
            <w:pPr>
              <w:pStyle w:val="BodyText"/>
              <w:spacing w:before="120" w:after="120"/>
              <w:rPr>
                <w:rFonts w:ascii="Times New Roman" w:hAnsi="Times New Roman"/>
                <w:b/>
                <w:color w:val="000000"/>
                <w:sz w:val="26"/>
                <w:szCs w:val="26"/>
              </w:rPr>
            </w:pPr>
          </w:p>
        </w:tc>
      </w:tr>
    </w:tbl>
    <w:p w:rsidR="00824136" w:rsidRDefault="00824136" w:rsidP="00824136">
      <w:pPr>
        <w:pStyle w:val="BodyText"/>
        <w:spacing w:before="120" w:after="120"/>
        <w:ind w:firstLine="360"/>
        <w:rPr>
          <w:rFonts w:ascii="Times New Roman" w:hAnsi="Times New Roman"/>
          <w:b/>
          <w:color w:val="000000"/>
          <w:sz w:val="26"/>
          <w:szCs w:val="26"/>
        </w:rPr>
      </w:pPr>
      <w:r>
        <w:rPr>
          <w:rFonts w:ascii="Times New Roman" w:hAnsi="Times New Roman"/>
          <w:b/>
          <w:color w:val="000000"/>
          <w:sz w:val="26"/>
          <w:szCs w:val="26"/>
        </w:rPr>
        <w:t>IV</w:t>
      </w:r>
      <w:proofErr w:type="gramStart"/>
      <w:r>
        <w:rPr>
          <w:rFonts w:ascii="Times New Roman" w:hAnsi="Times New Roman"/>
          <w:b/>
          <w:color w:val="000000"/>
          <w:sz w:val="26"/>
          <w:szCs w:val="26"/>
        </w:rPr>
        <w:t xml:space="preserve">. </w:t>
      </w:r>
      <w:r w:rsidRPr="00924BA6">
        <w:rPr>
          <w:rFonts w:ascii="Times New Roman" w:hAnsi="Times New Roman"/>
          <w:b/>
          <w:color w:val="000000"/>
          <w:sz w:val="26"/>
          <w:szCs w:val="26"/>
        </w:rPr>
        <w:t xml:space="preserve"> Giao</w:t>
      </w:r>
      <w:proofErr w:type="gramEnd"/>
      <w:r w:rsidRPr="00924BA6">
        <w:rPr>
          <w:rFonts w:ascii="Times New Roman" w:hAnsi="Times New Roman"/>
          <w:b/>
          <w:color w:val="000000"/>
          <w:sz w:val="26"/>
          <w:szCs w:val="26"/>
        </w:rPr>
        <w:t xml:space="preserve"> dịch của cổ đông nội bộ/ cổ đông lớn và người liên quan:</w:t>
      </w:r>
      <w:r>
        <w:rPr>
          <w:rFonts w:ascii="Times New Roman" w:hAnsi="Times New Roman"/>
          <w:b/>
          <w:color w:val="000000"/>
          <w:sz w:val="26"/>
          <w:szCs w:val="26"/>
        </w:rPr>
        <w:t xml:space="preserve"> </w:t>
      </w:r>
    </w:p>
    <w:p w:rsidR="00824136" w:rsidRDefault="00824136" w:rsidP="00824136">
      <w:pPr>
        <w:pStyle w:val="BodyText"/>
        <w:spacing w:before="120" w:after="120"/>
        <w:ind w:firstLine="360"/>
        <w:rPr>
          <w:rFonts w:ascii="Times New Roman" w:hAnsi="Times New Roman"/>
          <w:color w:val="000000"/>
          <w:sz w:val="26"/>
          <w:szCs w:val="26"/>
        </w:rPr>
      </w:pPr>
      <w:r w:rsidRPr="00397A92">
        <w:rPr>
          <w:rFonts w:ascii="Times New Roman" w:hAnsi="Times New Roman"/>
          <w:color w:val="000000"/>
          <w:sz w:val="26"/>
          <w:szCs w:val="26"/>
        </w:rPr>
        <w:t xml:space="preserve">1. Danh sách cổ đông nội bộ và người có liên quan </w:t>
      </w:r>
      <w:proofErr w:type="gramStart"/>
      <w:r w:rsidRPr="00397A92">
        <w:rPr>
          <w:rFonts w:ascii="Times New Roman" w:hAnsi="Times New Roman"/>
          <w:color w:val="000000"/>
          <w:sz w:val="26"/>
          <w:szCs w:val="26"/>
        </w:rPr>
        <w:t>( Biểu</w:t>
      </w:r>
      <w:proofErr w:type="gramEnd"/>
      <w:r w:rsidRPr="00397A92">
        <w:rPr>
          <w:rFonts w:ascii="Times New Roman" w:hAnsi="Times New Roman"/>
          <w:color w:val="000000"/>
          <w:sz w:val="26"/>
          <w:szCs w:val="26"/>
        </w:rPr>
        <w:t xml:space="preserve"> đính kèm)</w:t>
      </w:r>
    </w:p>
    <w:p w:rsidR="00AC3B94" w:rsidRDefault="00AC3B94" w:rsidP="00824136">
      <w:pPr>
        <w:pStyle w:val="BodyText"/>
        <w:spacing w:before="120" w:after="120"/>
        <w:ind w:firstLine="360"/>
        <w:rPr>
          <w:rFonts w:ascii="Times New Roman" w:hAnsi="Times New Roman"/>
          <w:color w:val="000000"/>
          <w:sz w:val="26"/>
          <w:szCs w:val="26"/>
        </w:rPr>
      </w:pPr>
    </w:p>
    <w:p w:rsidR="00AC3B94" w:rsidRDefault="00AC3B94" w:rsidP="00824136">
      <w:pPr>
        <w:pStyle w:val="BodyText"/>
        <w:spacing w:before="120" w:after="120"/>
        <w:ind w:firstLine="360"/>
        <w:rPr>
          <w:rFonts w:ascii="Times New Roman" w:hAnsi="Times New Roman"/>
          <w:color w:val="000000"/>
          <w:sz w:val="26"/>
          <w:szCs w:val="26"/>
        </w:rPr>
      </w:pPr>
    </w:p>
    <w:tbl>
      <w:tblPr>
        <w:tblStyle w:val="TableGrid"/>
        <w:tblW w:w="11250" w:type="dxa"/>
        <w:tblInd w:w="-972" w:type="dxa"/>
        <w:tblLayout w:type="fixed"/>
        <w:tblLook w:val="04A0"/>
      </w:tblPr>
      <w:tblGrid>
        <w:gridCol w:w="449"/>
        <w:gridCol w:w="1529"/>
        <w:gridCol w:w="1349"/>
        <w:gridCol w:w="993"/>
        <w:gridCol w:w="1350"/>
        <w:gridCol w:w="1260"/>
        <w:gridCol w:w="1080"/>
        <w:gridCol w:w="1170"/>
        <w:gridCol w:w="990"/>
        <w:gridCol w:w="720"/>
        <w:gridCol w:w="360"/>
      </w:tblGrid>
      <w:tr w:rsidR="00AC3B94" w:rsidRPr="008E1E56" w:rsidTr="00AC3B94">
        <w:tc>
          <w:tcPr>
            <w:tcW w:w="449"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lastRenderedPageBreak/>
              <w:t>STT</w:t>
            </w:r>
          </w:p>
        </w:tc>
        <w:tc>
          <w:tcPr>
            <w:tcW w:w="1529"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Tên tổ chức cá nhân</w:t>
            </w:r>
          </w:p>
        </w:tc>
        <w:tc>
          <w:tcPr>
            <w:tcW w:w="1349"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Tài khoản giao dịch chứng khoán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993"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Chức vụ tại công ty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1350"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CMND</w:t>
            </w:r>
          </w:p>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260"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Ngày cấp CMND</w:t>
            </w:r>
          </w:p>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080"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Nơi cấp CMND/</w:t>
            </w:r>
          </w:p>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170"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Địa chỉ</w:t>
            </w:r>
          </w:p>
        </w:tc>
        <w:tc>
          <w:tcPr>
            <w:tcW w:w="990" w:type="dxa"/>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cổ phiếu sở hữu cuối kỳ</w:t>
            </w:r>
          </w:p>
        </w:tc>
        <w:tc>
          <w:tcPr>
            <w:tcW w:w="720" w:type="dxa"/>
            <w:tcBorders>
              <w:right w:val="single" w:sz="4" w:space="0" w:color="auto"/>
            </w:tcBorders>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Tỷ lệ sở hữu cổ phiếu cuối kỳ</w:t>
            </w:r>
            <w:r>
              <w:rPr>
                <w:rFonts w:ascii="Times New Roman" w:hAnsi="Times New Roman"/>
                <w:color w:val="000000"/>
                <w:sz w:val="24"/>
                <w:szCs w:val="24"/>
              </w:rPr>
              <w:t xml:space="preserve"> (%)</w:t>
            </w:r>
          </w:p>
        </w:tc>
        <w:tc>
          <w:tcPr>
            <w:tcW w:w="360" w:type="dxa"/>
            <w:tcBorders>
              <w:left w:val="single" w:sz="4" w:space="0" w:color="auto"/>
            </w:tcBorders>
            <w:vAlign w:val="center"/>
          </w:tcPr>
          <w:p w:rsidR="00AC3B94" w:rsidRPr="008E1E56" w:rsidRDefault="00AC3B94" w:rsidP="00AC3B94">
            <w:pPr>
              <w:pStyle w:val="BodyText"/>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Ghi chú</w:t>
            </w:r>
          </w:p>
        </w:tc>
      </w:tr>
      <w:tr w:rsidR="00AC3B94" w:rsidRPr="00FC6E49" w:rsidTr="00AC3B94">
        <w:tc>
          <w:tcPr>
            <w:tcW w:w="449" w:type="dxa"/>
            <w:vMerge w:val="restart"/>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14"/>
                <w:sz w:val="22"/>
                <w:szCs w:val="22"/>
              </w:rPr>
            </w:pPr>
            <w:r w:rsidRPr="005F1D7A">
              <w:rPr>
                <w:rFonts w:ascii="Times New Roman" w:hAnsi="Times New Roman"/>
                <w:color w:val="000000"/>
                <w:spacing w:val="-14"/>
                <w:sz w:val="22"/>
                <w:szCs w:val="22"/>
              </w:rPr>
              <w:t>Phạm Thành Đô</w:t>
            </w:r>
          </w:p>
        </w:tc>
        <w:tc>
          <w:tcPr>
            <w:tcW w:w="1349" w:type="dxa"/>
          </w:tcPr>
          <w:p w:rsidR="00AC3B94" w:rsidRPr="00FC6E49" w:rsidRDefault="00AC3B94" w:rsidP="00AC3B94">
            <w:pPr>
              <w:pStyle w:val="BodyText"/>
              <w:spacing w:before="120" w:after="120"/>
              <w:rPr>
                <w:rFonts w:ascii="Times New Roman" w:hAnsi="Times New Roman"/>
                <w:color w:val="000000"/>
                <w:sz w:val="22"/>
                <w:szCs w:val="22"/>
              </w:rPr>
            </w:pP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Chủ tịchHĐQT</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012006390</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09/04/2012</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Nội</w:t>
            </w:r>
          </w:p>
        </w:tc>
        <w:tc>
          <w:tcPr>
            <w:tcW w:w="1170" w:type="dxa"/>
            <w:vAlign w:val="center"/>
          </w:tcPr>
          <w:p w:rsidR="00AC3B94" w:rsidRPr="005F1D7A" w:rsidRDefault="00AC3B94" w:rsidP="00AC3B94">
            <w:pPr>
              <w:pStyle w:val="BodyText"/>
              <w:spacing w:before="120" w:after="120"/>
              <w:jc w:val="center"/>
              <w:rPr>
                <w:rFonts w:ascii="Times New Roman" w:hAnsi="Times New Roman"/>
                <w:color w:val="000000"/>
                <w:sz w:val="20"/>
              </w:rPr>
            </w:pPr>
            <w:r w:rsidRPr="005F1D7A">
              <w:rPr>
                <w:rFonts w:ascii="Times New Roman" w:hAnsi="Times New Roman"/>
                <w:color w:val="000000"/>
                <w:sz w:val="20"/>
              </w:rPr>
              <w:t>Số 8/82 Nguyễn phúc Lai, Hoàng Cầu, Hà Nội</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399.800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3,173</w:t>
            </w:r>
          </w:p>
        </w:tc>
        <w:tc>
          <w:tcPr>
            <w:tcW w:w="360" w:type="dxa"/>
            <w:tcBorders>
              <w:left w:val="single" w:sz="4" w:space="0" w:color="auto"/>
            </w:tcBorders>
          </w:tcPr>
          <w:p w:rsidR="00AC3B94" w:rsidRPr="00FC6E49" w:rsidRDefault="00AC3B94" w:rsidP="00AC3B94">
            <w:pPr>
              <w:pStyle w:val="BodyText"/>
              <w:spacing w:before="120" w:after="120"/>
              <w:rPr>
                <w:rFonts w:ascii="Times New Roman" w:hAnsi="Times New Roman"/>
                <w:color w:val="000000"/>
                <w:sz w:val="22"/>
                <w:szCs w:val="22"/>
              </w:rPr>
            </w:pPr>
          </w:p>
        </w:tc>
      </w:tr>
      <w:tr w:rsidR="00AC3B94" w:rsidRPr="00FC6E49" w:rsidTr="00AC3B94">
        <w:tc>
          <w:tcPr>
            <w:tcW w:w="449" w:type="dxa"/>
            <w:vMerge/>
          </w:tcPr>
          <w:p w:rsidR="00AC3B94" w:rsidRPr="00FC6E49" w:rsidRDefault="00AC3B94" w:rsidP="00AC3B94">
            <w:pPr>
              <w:pStyle w:val="BodyText"/>
              <w:spacing w:before="120" w:after="120"/>
              <w:rPr>
                <w:rFonts w:ascii="Times New Roman" w:hAnsi="Times New Roman"/>
                <w:color w:val="000000"/>
                <w:sz w:val="22"/>
                <w:szCs w:val="22"/>
              </w:rPr>
            </w:pPr>
          </w:p>
        </w:tc>
        <w:tc>
          <w:tcPr>
            <w:tcW w:w="152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Phạm Văn Hội</w:t>
            </w:r>
          </w:p>
        </w:tc>
        <w:tc>
          <w:tcPr>
            <w:tcW w:w="1349" w:type="dxa"/>
          </w:tcPr>
          <w:p w:rsidR="00AC3B94" w:rsidRPr="00FC6E49" w:rsidRDefault="00AC3B94" w:rsidP="00AC3B94">
            <w:pPr>
              <w:pStyle w:val="BodyText"/>
              <w:spacing w:before="120" w:after="120"/>
              <w:rPr>
                <w:rFonts w:ascii="Times New Roman" w:hAnsi="Times New Roman"/>
                <w:color w:val="000000"/>
                <w:sz w:val="22"/>
                <w:szCs w:val="22"/>
              </w:rPr>
            </w:pPr>
          </w:p>
        </w:tc>
        <w:tc>
          <w:tcPr>
            <w:tcW w:w="993" w:type="dxa"/>
          </w:tcPr>
          <w:p w:rsidR="00AC3B94" w:rsidRPr="00FC6E49" w:rsidRDefault="00AC3B94" w:rsidP="00AC3B94">
            <w:pPr>
              <w:pStyle w:val="BodyText"/>
              <w:spacing w:before="120" w:after="120"/>
              <w:rPr>
                <w:rFonts w:ascii="Times New Roman" w:hAnsi="Times New Roman"/>
                <w:color w:val="000000"/>
                <w:sz w:val="22"/>
                <w:szCs w:val="22"/>
              </w:rPr>
            </w:pP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011480773</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02/07/2007</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Nội</w:t>
            </w:r>
          </w:p>
        </w:tc>
        <w:tc>
          <w:tcPr>
            <w:tcW w:w="1170" w:type="dxa"/>
          </w:tcPr>
          <w:p w:rsidR="00AC3B94" w:rsidRPr="005F1D7A" w:rsidRDefault="00AC3B94" w:rsidP="00AC3B94">
            <w:pPr>
              <w:pStyle w:val="BodyText"/>
              <w:spacing w:before="120" w:after="120"/>
              <w:rPr>
                <w:rFonts w:ascii="Times New Roman" w:hAnsi="Times New Roman"/>
                <w:color w:val="000000"/>
                <w:sz w:val="20"/>
              </w:rPr>
            </w:pPr>
            <w:r w:rsidRPr="005F1D7A">
              <w:rPr>
                <w:rFonts w:ascii="Times New Roman" w:hAnsi="Times New Roman"/>
                <w:color w:val="000000"/>
                <w:sz w:val="20"/>
              </w:rPr>
              <w:t>Số 8/82 Nguyễn phúc Lai, Hoàng Cầu, Hà Nội</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132.000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1,047</w:t>
            </w:r>
          </w:p>
        </w:tc>
        <w:tc>
          <w:tcPr>
            <w:tcW w:w="360" w:type="dxa"/>
            <w:tcBorders>
              <w:left w:val="single" w:sz="4" w:space="0" w:color="auto"/>
            </w:tcBorders>
          </w:tcPr>
          <w:p w:rsidR="00AC3B94" w:rsidRPr="00FC6E49" w:rsidRDefault="00AC3B94" w:rsidP="00AC3B94">
            <w:pPr>
              <w:pStyle w:val="BodyText"/>
              <w:spacing w:before="120" w:after="120"/>
              <w:rPr>
                <w:rFonts w:ascii="Times New Roman" w:hAnsi="Times New Roman"/>
                <w:color w:val="000000"/>
                <w:sz w:val="22"/>
                <w:szCs w:val="22"/>
              </w:rPr>
            </w:pPr>
          </w:p>
        </w:tc>
      </w:tr>
      <w:tr w:rsidR="00AC3B94" w:rsidRPr="00FC6E49" w:rsidTr="00AC3B94">
        <w:tc>
          <w:tcPr>
            <w:tcW w:w="449" w:type="dxa"/>
            <w:vMerge w:val="restart"/>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Trịnh Ngọc Hiếu</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068c600998</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TVHĐQT- GĐ</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073014830</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24/11/2005</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5F1D7A" w:rsidRDefault="00AC3B94" w:rsidP="00AC3B94">
            <w:pPr>
              <w:pStyle w:val="BodyText"/>
              <w:spacing w:before="120" w:after="120"/>
              <w:jc w:val="center"/>
              <w:rPr>
                <w:rFonts w:ascii="Times New Roman" w:hAnsi="Times New Roman"/>
                <w:color w:val="000000"/>
                <w:sz w:val="20"/>
              </w:rPr>
            </w:pPr>
            <w:r w:rsidRPr="005F1D7A">
              <w:rPr>
                <w:rFonts w:ascii="Times New Roman" w:hAnsi="Times New Roman"/>
                <w:color w:val="000000"/>
                <w:sz w:val="20"/>
              </w:rPr>
              <w:t>Tổ 2. P Quang Trung,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245.200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1,946</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c>
          <w:tcPr>
            <w:tcW w:w="152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Vũ Thị Vui</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068c600710</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073336452</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073336452</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5F1D7A" w:rsidRDefault="00AC3B94" w:rsidP="00AC3B94">
            <w:pPr>
              <w:pStyle w:val="BodyText"/>
              <w:spacing w:before="120" w:after="120"/>
              <w:jc w:val="center"/>
              <w:rPr>
                <w:rFonts w:ascii="Times New Roman" w:hAnsi="Times New Roman"/>
                <w:color w:val="000000"/>
                <w:sz w:val="20"/>
              </w:rPr>
            </w:pPr>
            <w:r w:rsidRPr="005F1D7A">
              <w:rPr>
                <w:rFonts w:ascii="Times New Roman" w:hAnsi="Times New Roman"/>
                <w:color w:val="000000"/>
                <w:sz w:val="20"/>
              </w:rPr>
              <w:t>Tổ 2. P Quang Trung,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70.600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0,560</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restart"/>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3</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Đào Xuân Tuất</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068c600896</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TVHĐQT- PGĐ</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073215550</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16/11/2006</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Tổ 8 P Minh Khai,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149.600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1,187</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Phan Thị Hồng</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068c600653</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073215545</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16/11/2006</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Tổ 8 P Minh Khai,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1.000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0,007</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restart"/>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4</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Đỗ Khắc Hùng</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068c600736</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Kế toán trưởng</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073188312</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20/03/2006</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tcPr>
          <w:p w:rsidR="00AC3B94" w:rsidRPr="00FC6E49" w:rsidRDefault="00AC3B94" w:rsidP="00AC3B94">
            <w:pPr>
              <w:pStyle w:val="BodyText"/>
              <w:spacing w:before="120" w:after="120"/>
              <w:rPr>
                <w:rFonts w:ascii="Times New Roman" w:hAnsi="Times New Roman"/>
                <w:color w:val="000000"/>
                <w:sz w:val="22"/>
                <w:szCs w:val="22"/>
              </w:rPr>
            </w:pPr>
            <w:r>
              <w:rPr>
                <w:rFonts w:ascii="Times New Roman" w:hAnsi="Times New Roman"/>
                <w:color w:val="000000"/>
                <w:sz w:val="22"/>
                <w:szCs w:val="22"/>
              </w:rPr>
              <w:t>Tổ 17 P Nguyễn Trãi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78.000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0,619</w:t>
            </w:r>
          </w:p>
        </w:tc>
        <w:tc>
          <w:tcPr>
            <w:tcW w:w="360" w:type="dxa"/>
            <w:tcBorders>
              <w:left w:val="single" w:sz="4" w:space="0" w:color="auto"/>
            </w:tcBorders>
          </w:tcPr>
          <w:p w:rsidR="00AC3B94" w:rsidRPr="00FC6E49" w:rsidRDefault="00AC3B94" w:rsidP="00AC3B94">
            <w:pPr>
              <w:pStyle w:val="BodyText"/>
              <w:spacing w:before="120" w:after="120"/>
              <w:rPr>
                <w:rFonts w:ascii="Times New Roman" w:hAnsi="Times New Roman"/>
                <w:color w:val="000000"/>
                <w:sz w:val="22"/>
                <w:szCs w:val="22"/>
              </w:rPr>
            </w:pPr>
          </w:p>
        </w:tc>
      </w:tr>
      <w:tr w:rsidR="00AC3B94" w:rsidRPr="00FC6E49" w:rsidTr="00AC3B94">
        <w:tc>
          <w:tcPr>
            <w:tcW w:w="449" w:type="dxa"/>
            <w:vMerge/>
          </w:tcPr>
          <w:p w:rsidR="00AC3B94" w:rsidRPr="00FC6E49" w:rsidRDefault="00AC3B94" w:rsidP="00AC3B94">
            <w:pPr>
              <w:pStyle w:val="BodyText"/>
              <w:spacing w:before="120" w:after="120"/>
              <w:rPr>
                <w:rFonts w:ascii="Times New Roman" w:hAnsi="Times New Roman"/>
                <w:color w:val="000000"/>
                <w:sz w:val="22"/>
                <w:szCs w:val="22"/>
              </w:rPr>
            </w:pPr>
          </w:p>
        </w:tc>
        <w:tc>
          <w:tcPr>
            <w:tcW w:w="1529"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Đỗ Thu Hà</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068c600763</w:t>
            </w:r>
          </w:p>
        </w:tc>
        <w:tc>
          <w:tcPr>
            <w:tcW w:w="993" w:type="dxa"/>
          </w:tcPr>
          <w:p w:rsidR="00AC3B94" w:rsidRPr="00FC6E49" w:rsidRDefault="00AC3B94" w:rsidP="00AC3B94">
            <w:pPr>
              <w:pStyle w:val="BodyText"/>
              <w:spacing w:before="120" w:after="120"/>
              <w:rPr>
                <w:rFonts w:ascii="Times New Roman" w:hAnsi="Times New Roman"/>
                <w:color w:val="000000"/>
                <w:sz w:val="22"/>
                <w:szCs w:val="22"/>
              </w:rPr>
            </w:pP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073033908</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13/05/1996</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Tổ 17 P Nguyễn Trãi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tcPr>
          <w:p w:rsidR="00AC3B94" w:rsidRPr="00FC6E49" w:rsidRDefault="00AC3B94" w:rsidP="00AC3B94">
            <w:pPr>
              <w:pStyle w:val="BodyText"/>
              <w:spacing w:before="120" w:after="120"/>
              <w:rPr>
                <w:rFonts w:ascii="Times New Roman" w:hAnsi="Times New Roman"/>
                <w:color w:val="000000"/>
                <w:sz w:val="22"/>
                <w:szCs w:val="22"/>
              </w:rPr>
            </w:pPr>
          </w:p>
        </w:tc>
      </w:tr>
      <w:tr w:rsidR="00AC3B94" w:rsidRPr="00FC6E49" w:rsidTr="00AC3B94">
        <w:tc>
          <w:tcPr>
            <w:tcW w:w="4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5</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Nguyễn Văn Biên</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068c600895</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PGĐ</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073019913</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15/08/2007</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 xml:space="preserve">CA Hà </w:t>
            </w:r>
            <w:r>
              <w:rPr>
                <w:rFonts w:ascii="Times New Roman" w:hAnsi="Times New Roman"/>
                <w:color w:val="000000"/>
                <w:sz w:val="22"/>
                <w:szCs w:val="22"/>
              </w:rPr>
              <w:lastRenderedPageBreak/>
              <w:t>Giang</w:t>
            </w:r>
          </w:p>
        </w:tc>
        <w:tc>
          <w:tcPr>
            <w:tcW w:w="117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 xml:space="preserve">Tổ 8 P </w:t>
            </w:r>
            <w:r>
              <w:rPr>
                <w:rFonts w:ascii="Times New Roman" w:hAnsi="Times New Roman"/>
                <w:color w:val="000000"/>
                <w:sz w:val="22"/>
                <w:szCs w:val="22"/>
              </w:rPr>
              <w:lastRenderedPageBreak/>
              <w:t>Minh Khai,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40.400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0,320</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1529" w:type="dxa"/>
            <w:vAlign w:val="center"/>
          </w:tcPr>
          <w:p w:rsidR="00AC3B94" w:rsidRPr="005F1D7A" w:rsidRDefault="00AC3B94" w:rsidP="00AC3B94">
            <w:pPr>
              <w:pStyle w:val="BodyText"/>
              <w:spacing w:before="120" w:after="120"/>
              <w:jc w:val="center"/>
              <w:rPr>
                <w:rFonts w:ascii="Times New Roman" w:hAnsi="Times New Roman"/>
                <w:color w:val="000000"/>
                <w:spacing w:val="-24"/>
                <w:sz w:val="22"/>
                <w:szCs w:val="22"/>
              </w:rPr>
            </w:pPr>
            <w:r w:rsidRPr="005F1D7A">
              <w:rPr>
                <w:rFonts w:ascii="Times New Roman" w:hAnsi="Times New Roman"/>
                <w:color w:val="000000"/>
                <w:spacing w:val="-24"/>
                <w:sz w:val="22"/>
                <w:szCs w:val="22"/>
              </w:rPr>
              <w:t>Lương Thị Tuyết</w:t>
            </w:r>
          </w:p>
        </w:tc>
        <w:tc>
          <w:tcPr>
            <w:tcW w:w="1349"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068c600796</w:t>
            </w:r>
          </w:p>
        </w:tc>
        <w:tc>
          <w:tcPr>
            <w:tcW w:w="993"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Trưởng Ban kiểm soát</w:t>
            </w:r>
          </w:p>
        </w:tc>
        <w:tc>
          <w:tcPr>
            <w:tcW w:w="135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073188240</w:t>
            </w:r>
          </w:p>
        </w:tc>
        <w:tc>
          <w:tcPr>
            <w:tcW w:w="126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13/03/2006</w:t>
            </w:r>
          </w:p>
        </w:tc>
        <w:tc>
          <w:tcPr>
            <w:tcW w:w="108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Tổ 13. P Nguyễn Trãi TP Hà Giang</w:t>
            </w:r>
          </w:p>
        </w:tc>
        <w:tc>
          <w:tcPr>
            <w:tcW w:w="990" w:type="dxa"/>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41.400</w:t>
            </w:r>
          </w:p>
        </w:tc>
        <w:tc>
          <w:tcPr>
            <w:tcW w:w="720" w:type="dxa"/>
            <w:tcBorders>
              <w:righ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0,328</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restart"/>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7</w:t>
            </w:r>
          </w:p>
        </w:tc>
        <w:tc>
          <w:tcPr>
            <w:tcW w:w="1529"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Vàn Quốc Tân</w:t>
            </w:r>
          </w:p>
        </w:tc>
        <w:tc>
          <w:tcPr>
            <w:tcW w:w="1349"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068c600665</w:t>
            </w:r>
          </w:p>
        </w:tc>
        <w:tc>
          <w:tcPr>
            <w:tcW w:w="993"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TVBKS</w:t>
            </w:r>
          </w:p>
        </w:tc>
        <w:tc>
          <w:tcPr>
            <w:tcW w:w="135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073023318</w:t>
            </w:r>
          </w:p>
        </w:tc>
        <w:tc>
          <w:tcPr>
            <w:tcW w:w="126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13/05/2011</w:t>
            </w:r>
          </w:p>
        </w:tc>
        <w:tc>
          <w:tcPr>
            <w:tcW w:w="108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Xã Mậu Duệ Yên Minh, Hà Giang</w:t>
            </w:r>
          </w:p>
        </w:tc>
        <w:tc>
          <w:tcPr>
            <w:tcW w:w="99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18.000</w:t>
            </w:r>
          </w:p>
        </w:tc>
        <w:tc>
          <w:tcPr>
            <w:tcW w:w="720" w:type="dxa"/>
            <w:tcBorders>
              <w:right w:val="single" w:sz="4" w:space="0" w:color="auto"/>
            </w:tcBorders>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0,142</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r w:rsidR="00AC3B94" w:rsidRPr="00FC6E49" w:rsidTr="00AC3B94">
        <w:tc>
          <w:tcPr>
            <w:tcW w:w="449" w:type="dxa"/>
            <w:vMerge/>
            <w:vAlign w:val="center"/>
          </w:tcPr>
          <w:p w:rsidR="00AC3B94" w:rsidRDefault="00AC3B94" w:rsidP="00AC3B94">
            <w:pPr>
              <w:pStyle w:val="BodyText"/>
              <w:spacing w:before="120" w:after="120"/>
              <w:jc w:val="center"/>
              <w:rPr>
                <w:rFonts w:ascii="Times New Roman" w:hAnsi="Times New Roman"/>
                <w:color w:val="000000"/>
                <w:sz w:val="22"/>
                <w:szCs w:val="22"/>
              </w:rPr>
            </w:pPr>
          </w:p>
        </w:tc>
        <w:tc>
          <w:tcPr>
            <w:tcW w:w="1529"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Linh Thị Thủy</w:t>
            </w:r>
          </w:p>
        </w:tc>
        <w:tc>
          <w:tcPr>
            <w:tcW w:w="1349"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068c600662</w:t>
            </w:r>
          </w:p>
        </w:tc>
        <w:tc>
          <w:tcPr>
            <w:tcW w:w="993" w:type="dxa"/>
            <w:vAlign w:val="center"/>
          </w:tcPr>
          <w:p w:rsidR="00AC3B94" w:rsidRDefault="00AC3B94" w:rsidP="00AC3B94">
            <w:pPr>
              <w:pStyle w:val="BodyText"/>
              <w:spacing w:before="120" w:after="120"/>
              <w:jc w:val="center"/>
              <w:rPr>
                <w:rFonts w:ascii="Times New Roman" w:hAnsi="Times New Roman"/>
                <w:color w:val="000000"/>
                <w:sz w:val="22"/>
                <w:szCs w:val="22"/>
              </w:rPr>
            </w:pPr>
          </w:p>
        </w:tc>
        <w:tc>
          <w:tcPr>
            <w:tcW w:w="135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073093120</w:t>
            </w:r>
          </w:p>
        </w:tc>
        <w:tc>
          <w:tcPr>
            <w:tcW w:w="126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24/03/2011</w:t>
            </w:r>
          </w:p>
        </w:tc>
        <w:tc>
          <w:tcPr>
            <w:tcW w:w="108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CA Hà Giang</w:t>
            </w:r>
          </w:p>
        </w:tc>
        <w:tc>
          <w:tcPr>
            <w:tcW w:w="117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Xã Mậu Duệ Yên Minh, Hà Giang</w:t>
            </w:r>
          </w:p>
        </w:tc>
        <w:tc>
          <w:tcPr>
            <w:tcW w:w="990" w:type="dxa"/>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AC3B94" w:rsidRDefault="00AC3B94" w:rsidP="00AC3B94">
            <w:pPr>
              <w:pStyle w:val="BodyText"/>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vAlign w:val="center"/>
          </w:tcPr>
          <w:p w:rsidR="00AC3B94" w:rsidRPr="00FC6E49" w:rsidRDefault="00AC3B94" w:rsidP="00AC3B94">
            <w:pPr>
              <w:pStyle w:val="BodyText"/>
              <w:spacing w:before="120" w:after="120"/>
              <w:jc w:val="center"/>
              <w:rPr>
                <w:rFonts w:ascii="Times New Roman" w:hAnsi="Times New Roman"/>
                <w:color w:val="000000"/>
                <w:sz w:val="22"/>
                <w:szCs w:val="22"/>
              </w:rPr>
            </w:pPr>
          </w:p>
        </w:tc>
      </w:tr>
    </w:tbl>
    <w:p w:rsidR="00AC3B94" w:rsidRDefault="00AC3B94" w:rsidP="00824136">
      <w:pPr>
        <w:pStyle w:val="BodyText"/>
        <w:spacing w:before="120" w:after="120"/>
        <w:ind w:firstLine="360"/>
        <w:rPr>
          <w:rFonts w:ascii="Times New Roman" w:hAnsi="Times New Roman"/>
          <w:color w:val="000000"/>
          <w:sz w:val="26"/>
          <w:szCs w:val="26"/>
        </w:rPr>
      </w:pPr>
    </w:p>
    <w:p w:rsidR="00824136" w:rsidRPr="00924BA6" w:rsidRDefault="00824136" w:rsidP="00824136">
      <w:pPr>
        <w:pStyle w:val="BodyText"/>
        <w:spacing w:before="120" w:after="120"/>
        <w:ind w:firstLine="360"/>
        <w:rPr>
          <w:rFonts w:ascii="Times New Roman" w:hAnsi="Times New Roman"/>
          <w:color w:val="000000"/>
          <w:sz w:val="26"/>
          <w:szCs w:val="26"/>
        </w:rPr>
      </w:pPr>
      <w:r>
        <w:rPr>
          <w:rFonts w:ascii="Times New Roman" w:hAnsi="Times New Roman"/>
          <w:color w:val="000000"/>
          <w:sz w:val="26"/>
          <w:szCs w:val="26"/>
        </w:rPr>
        <w:t xml:space="preserve">2. </w:t>
      </w:r>
      <w:r w:rsidRPr="00924BA6">
        <w:rPr>
          <w:rFonts w:ascii="Times New Roman" w:hAnsi="Times New Roman"/>
          <w:color w:val="000000"/>
          <w:sz w:val="26"/>
          <w:szCs w:val="26"/>
        </w:rPr>
        <w:t xml:space="preserve"> Giao dịch cổ phiếu:</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25"/>
        <w:gridCol w:w="1047"/>
        <w:gridCol w:w="1051"/>
        <w:gridCol w:w="1018"/>
        <w:gridCol w:w="1089"/>
        <w:gridCol w:w="1018"/>
        <w:gridCol w:w="1784"/>
      </w:tblGrid>
      <w:tr w:rsidR="00824136" w:rsidRPr="00397A92" w:rsidTr="00311575">
        <w:tc>
          <w:tcPr>
            <w:tcW w:w="708" w:type="dxa"/>
            <w:vMerge w:val="restart"/>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STT</w:t>
            </w:r>
          </w:p>
        </w:tc>
        <w:tc>
          <w:tcPr>
            <w:tcW w:w="1825" w:type="dxa"/>
            <w:vMerge w:val="restart"/>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Người thực hiện giao dịch</w:t>
            </w:r>
          </w:p>
        </w:tc>
        <w:tc>
          <w:tcPr>
            <w:tcW w:w="1047" w:type="dxa"/>
            <w:vMerge w:val="restart"/>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Quan hệ với cổ đông nội bộ/cổ đông lớn</w:t>
            </w:r>
          </w:p>
        </w:tc>
        <w:tc>
          <w:tcPr>
            <w:tcW w:w="2069" w:type="dxa"/>
            <w:gridSpan w:val="2"/>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đầu kỳ</w:t>
            </w:r>
          </w:p>
        </w:tc>
        <w:tc>
          <w:tcPr>
            <w:tcW w:w="2107" w:type="dxa"/>
            <w:gridSpan w:val="2"/>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cuối kỳ</w:t>
            </w:r>
          </w:p>
        </w:tc>
        <w:tc>
          <w:tcPr>
            <w:tcW w:w="1784" w:type="dxa"/>
            <w:vMerge w:val="restart"/>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 xml:space="preserve">Lý do tăng, giảm </w:t>
            </w:r>
            <w:r w:rsidRPr="00397A92">
              <w:rPr>
                <w:rFonts w:ascii="Times New Roman" w:hAnsi="Times New Roman"/>
                <w:b/>
                <w:i/>
                <w:color w:val="000000"/>
                <w:sz w:val="26"/>
                <w:szCs w:val="26"/>
              </w:rPr>
              <w:t>(mua, bán, chuyển đổi, thưởng...)</w:t>
            </w:r>
          </w:p>
        </w:tc>
      </w:tr>
      <w:tr w:rsidR="00824136" w:rsidRPr="00924BA6" w:rsidTr="00311575">
        <w:tc>
          <w:tcPr>
            <w:tcW w:w="708" w:type="dxa"/>
            <w:vMerge/>
          </w:tcPr>
          <w:p w:rsidR="00824136" w:rsidRPr="00924BA6" w:rsidRDefault="00824136" w:rsidP="00311575">
            <w:pPr>
              <w:pStyle w:val="BodyText"/>
              <w:jc w:val="center"/>
              <w:rPr>
                <w:rFonts w:ascii="Times New Roman" w:hAnsi="Times New Roman"/>
                <w:color w:val="000000"/>
                <w:sz w:val="26"/>
                <w:szCs w:val="26"/>
              </w:rPr>
            </w:pPr>
          </w:p>
        </w:tc>
        <w:tc>
          <w:tcPr>
            <w:tcW w:w="1825" w:type="dxa"/>
            <w:vMerge/>
          </w:tcPr>
          <w:p w:rsidR="00824136" w:rsidRPr="00924BA6" w:rsidRDefault="00824136" w:rsidP="00311575">
            <w:pPr>
              <w:pStyle w:val="BodyText"/>
              <w:jc w:val="center"/>
              <w:rPr>
                <w:rFonts w:ascii="Times New Roman" w:hAnsi="Times New Roman"/>
                <w:color w:val="000000"/>
                <w:sz w:val="26"/>
                <w:szCs w:val="26"/>
              </w:rPr>
            </w:pPr>
          </w:p>
        </w:tc>
        <w:tc>
          <w:tcPr>
            <w:tcW w:w="1047" w:type="dxa"/>
            <w:vMerge/>
          </w:tcPr>
          <w:p w:rsidR="00824136" w:rsidRPr="00924BA6" w:rsidRDefault="00824136" w:rsidP="00311575">
            <w:pPr>
              <w:pStyle w:val="BodyText"/>
              <w:jc w:val="center"/>
              <w:rPr>
                <w:rFonts w:ascii="Times New Roman" w:hAnsi="Times New Roman"/>
                <w:color w:val="000000"/>
                <w:sz w:val="26"/>
                <w:szCs w:val="26"/>
              </w:rPr>
            </w:pPr>
          </w:p>
        </w:tc>
        <w:tc>
          <w:tcPr>
            <w:tcW w:w="1051" w:type="dxa"/>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1018" w:type="dxa"/>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089" w:type="dxa"/>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1018" w:type="dxa"/>
            <w:vAlign w:val="center"/>
          </w:tcPr>
          <w:p w:rsidR="00824136" w:rsidRPr="00397A92" w:rsidRDefault="00824136" w:rsidP="00311575">
            <w:pPr>
              <w:pStyle w:val="BodyText"/>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784" w:type="dxa"/>
            <w:vMerge/>
          </w:tcPr>
          <w:p w:rsidR="00824136" w:rsidRPr="00397A92" w:rsidRDefault="00824136" w:rsidP="00311575">
            <w:pPr>
              <w:pStyle w:val="BodyText"/>
              <w:jc w:val="center"/>
              <w:rPr>
                <w:rFonts w:ascii="Times New Roman" w:hAnsi="Times New Roman"/>
                <w:b/>
                <w:color w:val="000000"/>
                <w:sz w:val="26"/>
                <w:szCs w:val="26"/>
              </w:rPr>
            </w:pPr>
          </w:p>
        </w:tc>
      </w:tr>
      <w:tr w:rsidR="00824136" w:rsidRPr="00924BA6" w:rsidTr="00311575">
        <w:tc>
          <w:tcPr>
            <w:tcW w:w="708"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825" w:type="dxa"/>
            <w:vAlign w:val="center"/>
          </w:tcPr>
          <w:p w:rsidR="00824136" w:rsidRPr="00924BA6" w:rsidRDefault="00AC3B94" w:rsidP="00311575">
            <w:pPr>
              <w:pStyle w:val="BodyText"/>
              <w:jc w:val="center"/>
              <w:rPr>
                <w:rFonts w:ascii="Times New Roman" w:hAnsi="Times New Roman"/>
                <w:color w:val="000000"/>
                <w:sz w:val="26"/>
                <w:szCs w:val="26"/>
              </w:rPr>
            </w:pPr>
            <w:r>
              <w:rPr>
                <w:rFonts w:ascii="Times New Roman" w:hAnsi="Times New Roman"/>
                <w:color w:val="000000"/>
                <w:sz w:val="26"/>
                <w:szCs w:val="26"/>
              </w:rPr>
              <w:t>Không</w:t>
            </w:r>
          </w:p>
        </w:tc>
        <w:tc>
          <w:tcPr>
            <w:tcW w:w="1047"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051"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018"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089"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018" w:type="dxa"/>
            <w:vAlign w:val="center"/>
          </w:tcPr>
          <w:p w:rsidR="00824136" w:rsidRPr="00924BA6" w:rsidRDefault="00824136" w:rsidP="00311575">
            <w:pPr>
              <w:pStyle w:val="BodyText"/>
              <w:jc w:val="center"/>
              <w:rPr>
                <w:rFonts w:ascii="Times New Roman" w:hAnsi="Times New Roman"/>
                <w:color w:val="000000"/>
                <w:sz w:val="26"/>
                <w:szCs w:val="26"/>
              </w:rPr>
            </w:pPr>
          </w:p>
        </w:tc>
        <w:tc>
          <w:tcPr>
            <w:tcW w:w="1784" w:type="dxa"/>
            <w:vAlign w:val="center"/>
          </w:tcPr>
          <w:p w:rsidR="00824136" w:rsidRPr="00924BA6" w:rsidRDefault="00824136" w:rsidP="00311575">
            <w:pPr>
              <w:pStyle w:val="BodyText"/>
              <w:jc w:val="center"/>
              <w:rPr>
                <w:rFonts w:ascii="Times New Roman" w:hAnsi="Times New Roman"/>
                <w:color w:val="000000"/>
                <w:sz w:val="26"/>
                <w:szCs w:val="26"/>
              </w:rPr>
            </w:pPr>
          </w:p>
        </w:tc>
      </w:tr>
    </w:tbl>
    <w:p w:rsidR="00824136" w:rsidRDefault="00824136" w:rsidP="00824136">
      <w:pPr>
        <w:pStyle w:val="BodyText"/>
        <w:spacing w:before="120" w:after="120"/>
        <w:ind w:left="-180" w:firstLine="900"/>
        <w:rPr>
          <w:rFonts w:ascii="Times New Roman" w:hAnsi="Times New Roman"/>
          <w:i/>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Các giao dịch khác: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824136" w:rsidRDefault="00824136" w:rsidP="00824136">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p>
    <w:p w:rsidR="00824136" w:rsidRPr="00AD13A8" w:rsidRDefault="00824136" w:rsidP="00824136">
      <w:pPr>
        <w:pStyle w:val="BodyText"/>
        <w:spacing w:before="120" w:after="120"/>
        <w:ind w:left="720"/>
        <w:rPr>
          <w:rFonts w:ascii="Times New Roman" w:hAnsi="Times New Roman"/>
          <w:i/>
          <w:color w:val="000000"/>
          <w:sz w:val="26"/>
          <w:szCs w:val="26"/>
        </w:rPr>
      </w:pPr>
      <w:r>
        <w:rPr>
          <w:rFonts w:ascii="Times New Roman" w:hAnsi="Times New Roman"/>
          <w:b/>
          <w:color w:val="000000"/>
          <w:sz w:val="26"/>
          <w:szCs w:val="26"/>
        </w:rPr>
        <w:t xml:space="preserve">                                     </w:t>
      </w:r>
      <w:r>
        <w:rPr>
          <w:rFonts w:ascii="Times New Roman" w:hAnsi="Times New Roman"/>
          <w:b/>
          <w:color w:val="000000"/>
          <w:sz w:val="26"/>
          <w:szCs w:val="26"/>
        </w:rPr>
        <w:tab/>
      </w:r>
      <w:r>
        <w:rPr>
          <w:rFonts w:ascii="Times New Roman" w:hAnsi="Times New Roman"/>
          <w:b/>
          <w:color w:val="000000"/>
          <w:sz w:val="26"/>
          <w:szCs w:val="26"/>
        </w:rPr>
        <w:tab/>
        <w:t xml:space="preserve">   </w:t>
      </w:r>
      <w:r w:rsidRPr="00AD13A8">
        <w:rPr>
          <w:rFonts w:ascii="Times New Roman" w:hAnsi="Times New Roman"/>
          <w:i/>
          <w:color w:val="000000"/>
          <w:sz w:val="26"/>
          <w:szCs w:val="26"/>
        </w:rPr>
        <w:t xml:space="preserve">Hà </w:t>
      </w:r>
      <w:r w:rsidR="002264BA">
        <w:rPr>
          <w:rFonts w:ascii="Times New Roman" w:hAnsi="Times New Roman"/>
          <w:i/>
          <w:color w:val="000000"/>
          <w:sz w:val="26"/>
          <w:szCs w:val="26"/>
        </w:rPr>
        <w:t>Giang, ngày 15 tháng 07 năm 2015</w:t>
      </w:r>
    </w:p>
    <w:p w:rsidR="00824136" w:rsidRPr="00E77EAC" w:rsidRDefault="00824136" w:rsidP="00824136">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824136" w:rsidRDefault="00824136" w:rsidP="00824136">
      <w:pPr>
        <w:pStyle w:val="Heading1"/>
        <w:ind w:left="5760"/>
        <w:jc w:val="both"/>
        <w:rPr>
          <w:rFonts w:ascii="Times New Roman" w:hAnsi="Times New Roman"/>
          <w:b w:val="0"/>
          <w:bCs/>
          <w:i/>
          <w:iCs/>
          <w:color w:val="000000"/>
          <w:sz w:val="26"/>
          <w:szCs w:val="26"/>
        </w:rPr>
      </w:pP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Pr>
          <w:rFonts w:ascii="Times New Roman" w:hAnsi="Times New Roman"/>
          <w:b w:val="0"/>
          <w:bCs/>
          <w:i/>
          <w:iCs/>
          <w:color w:val="000000"/>
          <w:sz w:val="26"/>
          <w:szCs w:val="26"/>
        </w:rPr>
        <w:t xml:space="preserve"> </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824136" w:rsidRDefault="00824136" w:rsidP="00824136"/>
    <w:p w:rsidR="00824136" w:rsidRDefault="00824136" w:rsidP="00824136"/>
    <w:p w:rsidR="00824136" w:rsidRDefault="00824136" w:rsidP="00824136"/>
    <w:p w:rsidR="00824136" w:rsidRDefault="00824136" w:rsidP="00824136"/>
    <w:p w:rsidR="00824136" w:rsidRDefault="00824136" w:rsidP="00824136">
      <w:r>
        <w:t xml:space="preserve">                                                                                                     </w:t>
      </w:r>
    </w:p>
    <w:p w:rsidR="00824136" w:rsidRDefault="00824136" w:rsidP="00824136"/>
    <w:p w:rsidR="00824136" w:rsidRPr="0033062C" w:rsidRDefault="00824136" w:rsidP="00824136">
      <w:pPr>
        <w:rPr>
          <w:b/>
        </w:rPr>
      </w:pPr>
      <w:r>
        <w:t xml:space="preserve">                                                                                                     </w:t>
      </w:r>
      <w:r w:rsidR="002264BA">
        <w:rPr>
          <w:b/>
        </w:rPr>
        <w:t>Phạm Thành Đô</w:t>
      </w:r>
    </w:p>
    <w:p w:rsidR="00824136" w:rsidRDefault="00824136" w:rsidP="00824136"/>
    <w:p w:rsidR="00824136" w:rsidRDefault="00824136" w:rsidP="00824136"/>
    <w:p w:rsidR="00101ABF" w:rsidRDefault="00101ABF"/>
    <w:sectPr w:rsidR="00101ABF" w:rsidSect="00311575">
      <w:footerReference w:type="default" r:id="rId8"/>
      <w:pgSz w:w="12240" w:h="15840"/>
      <w:pgMar w:top="630" w:right="100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394" w:rsidRDefault="004E0394" w:rsidP="00A30F08">
      <w:r>
        <w:separator/>
      </w:r>
    </w:p>
  </w:endnote>
  <w:endnote w:type="continuationSeparator" w:id="1">
    <w:p w:rsidR="004E0394" w:rsidRDefault="004E0394" w:rsidP="00A30F08">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105"/>
      <w:docPartObj>
        <w:docPartGallery w:val="Page Numbers (Bottom of Page)"/>
        <w:docPartUnique/>
      </w:docPartObj>
    </w:sdtPr>
    <w:sdtContent>
      <w:p w:rsidR="00AC3B94" w:rsidRDefault="00780E9A">
        <w:pPr>
          <w:pStyle w:val="Footer"/>
          <w:jc w:val="center"/>
        </w:pPr>
        <w:fldSimple w:instr=" PAGE   \* MERGEFORMAT ">
          <w:r w:rsidR="00470F16">
            <w:rPr>
              <w:noProof/>
            </w:rPr>
            <w:t>1</w:t>
          </w:r>
        </w:fldSimple>
      </w:p>
    </w:sdtContent>
  </w:sdt>
  <w:p w:rsidR="00AC3B94" w:rsidRDefault="00AC3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394" w:rsidRDefault="004E0394" w:rsidP="00A30F08">
      <w:r>
        <w:separator/>
      </w:r>
    </w:p>
  </w:footnote>
  <w:footnote w:type="continuationSeparator" w:id="1">
    <w:p w:rsidR="004E0394" w:rsidRDefault="004E0394" w:rsidP="00A30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24136"/>
    <w:rsid w:val="000521A6"/>
    <w:rsid w:val="00101ABF"/>
    <w:rsid w:val="001C5FC4"/>
    <w:rsid w:val="002264BA"/>
    <w:rsid w:val="002C1D83"/>
    <w:rsid w:val="002C34B5"/>
    <w:rsid w:val="00311575"/>
    <w:rsid w:val="00470F16"/>
    <w:rsid w:val="004E0394"/>
    <w:rsid w:val="004E61FC"/>
    <w:rsid w:val="005A0FE7"/>
    <w:rsid w:val="00606BA8"/>
    <w:rsid w:val="00641622"/>
    <w:rsid w:val="00690962"/>
    <w:rsid w:val="006A6240"/>
    <w:rsid w:val="006E34CD"/>
    <w:rsid w:val="00745689"/>
    <w:rsid w:val="00780E9A"/>
    <w:rsid w:val="00824136"/>
    <w:rsid w:val="00A30F08"/>
    <w:rsid w:val="00A41ABA"/>
    <w:rsid w:val="00AC3B94"/>
    <w:rsid w:val="00B564FD"/>
    <w:rsid w:val="00C212E2"/>
    <w:rsid w:val="00C666FC"/>
    <w:rsid w:val="00F735B4"/>
    <w:rsid w:val="00FC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36"/>
    <w:rPr>
      <w:sz w:val="24"/>
      <w:szCs w:val="24"/>
    </w:rPr>
  </w:style>
  <w:style w:type="paragraph" w:styleId="Heading1">
    <w:name w:val="heading 1"/>
    <w:basedOn w:val="Normal"/>
    <w:next w:val="Normal"/>
    <w:link w:val="Heading1Char"/>
    <w:qFormat/>
    <w:rsid w:val="00824136"/>
    <w:pPr>
      <w:keepNext/>
      <w:jc w:val="center"/>
      <w:outlineLvl w:val="0"/>
    </w:pPr>
    <w:rPr>
      <w:rFonts w:ascii=".VnTimeH" w:hAnsi=".VnTimeH"/>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136"/>
    <w:rPr>
      <w:rFonts w:ascii=".VnTimeH" w:hAnsi=".VnTimeH"/>
      <w:b/>
      <w:snapToGrid w:val="0"/>
      <w:sz w:val="24"/>
    </w:rPr>
  </w:style>
  <w:style w:type="paragraph" w:styleId="BodyText">
    <w:name w:val="Body Text"/>
    <w:basedOn w:val="Normal"/>
    <w:link w:val="BodyTextChar"/>
    <w:rsid w:val="00824136"/>
    <w:pPr>
      <w:jc w:val="both"/>
    </w:pPr>
    <w:rPr>
      <w:rFonts w:ascii=".VnTimeH" w:hAnsi=".VnTimeH"/>
      <w:snapToGrid w:val="0"/>
      <w:sz w:val="28"/>
      <w:szCs w:val="20"/>
    </w:rPr>
  </w:style>
  <w:style w:type="character" w:customStyle="1" w:styleId="BodyTextChar">
    <w:name w:val="Body Text Char"/>
    <w:basedOn w:val="DefaultParagraphFont"/>
    <w:link w:val="BodyText"/>
    <w:rsid w:val="00824136"/>
    <w:rPr>
      <w:rFonts w:ascii=".VnTimeH" w:hAnsi=".VnTimeH"/>
      <w:snapToGrid w:val="0"/>
      <w:sz w:val="28"/>
    </w:rPr>
  </w:style>
  <w:style w:type="paragraph" w:styleId="Title">
    <w:name w:val="Title"/>
    <w:basedOn w:val="Normal"/>
    <w:link w:val="TitleChar"/>
    <w:qFormat/>
    <w:rsid w:val="00824136"/>
    <w:pPr>
      <w:jc w:val="center"/>
    </w:pPr>
    <w:rPr>
      <w:rFonts w:ascii=".VnTimeH" w:hAnsi=".VnTimeH"/>
      <w:b/>
      <w:snapToGrid w:val="0"/>
      <w:szCs w:val="20"/>
    </w:rPr>
  </w:style>
  <w:style w:type="character" w:customStyle="1" w:styleId="TitleChar">
    <w:name w:val="Title Char"/>
    <w:basedOn w:val="DefaultParagraphFont"/>
    <w:link w:val="Title"/>
    <w:rsid w:val="00824136"/>
    <w:rPr>
      <w:rFonts w:ascii=".VnTimeH" w:hAnsi=".VnTimeH"/>
      <w:b/>
      <w:snapToGrid w:val="0"/>
      <w:sz w:val="24"/>
    </w:rPr>
  </w:style>
  <w:style w:type="character" w:styleId="Hyperlink">
    <w:name w:val="Hyperlink"/>
    <w:basedOn w:val="DefaultParagraphFont"/>
    <w:rsid w:val="00824136"/>
    <w:rPr>
      <w:color w:val="0000FF"/>
      <w:u w:val="single"/>
    </w:rPr>
  </w:style>
  <w:style w:type="table" w:styleId="TableGrid">
    <w:name w:val="Table Grid"/>
    <w:basedOn w:val="TableNormal"/>
    <w:uiPriority w:val="59"/>
    <w:rsid w:val="00824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24136"/>
    <w:pPr>
      <w:tabs>
        <w:tab w:val="center" w:pos="4680"/>
        <w:tab w:val="right" w:pos="9360"/>
      </w:tabs>
    </w:pPr>
  </w:style>
  <w:style w:type="character" w:customStyle="1" w:styleId="FooterChar">
    <w:name w:val="Footer Char"/>
    <w:basedOn w:val="DefaultParagraphFont"/>
    <w:link w:val="Footer"/>
    <w:uiPriority w:val="99"/>
    <w:rsid w:val="00824136"/>
    <w:rPr>
      <w:sz w:val="24"/>
      <w:szCs w:val="24"/>
    </w:rPr>
  </w:style>
  <w:style w:type="paragraph" w:styleId="ListParagraph">
    <w:name w:val="List Paragraph"/>
    <w:basedOn w:val="Normal"/>
    <w:uiPriority w:val="34"/>
    <w:qFormat/>
    <w:rsid w:val="00824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oangsanhg@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1xJM2cjOEwGdJ9VjVFxVx+vU1Sw=</DigestValue>
    </Reference>
    <Reference URI="#idOfficeObject" Type="http://www.w3.org/2000/09/xmldsig#Object">
      <DigestMethod Algorithm="http://www.w3.org/2000/09/xmldsig#sha1"/>
      <DigestValue>EDVY9rZHrRxh86y+mDL94kgDbLg=</DigestValue>
    </Reference>
  </SignedInfo>
  <SignatureValue>
    XJekqj3JK53uPmZHtEWSaJA54Wfxf5ILi6XDrMGaUlDaMzEC87C5vJZNL8bHNpv+NR6dhRBJ
    sBaujeEmslQjb0pe+QNhrgdmI7ME3nu0ynsAMlmehqMnB1vDJy+jsdKDrv5DL6/FzA2drZcb
    9j4Sm5uBkt7JOwkTZWK4KO2dwlk=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snPbQ+tdIvWVinPrDKz4izb9/p4=</DigestValue>
      </Reference>
      <Reference URI="/word/endnotes.xml?ContentType=application/vnd.openxmlformats-officedocument.wordprocessingml.endnotes+xml">
        <DigestMethod Algorithm="http://www.w3.org/2000/09/xmldsig#sha1"/>
        <DigestValue>rfjh8wu7PwmSR8E8/b1Jk8fN5Lo=</DigestValue>
      </Reference>
      <Reference URI="/word/fontTable.xml?ContentType=application/vnd.openxmlformats-officedocument.wordprocessingml.fontTable+xml">
        <DigestMethod Algorithm="http://www.w3.org/2000/09/xmldsig#sha1"/>
        <DigestValue>Erw7Vbi35mYGKDzBCDlb2XU+Mxs=</DigestValue>
      </Reference>
      <Reference URI="/word/footer1.xml?ContentType=application/vnd.openxmlformats-officedocument.wordprocessingml.footer+xml">
        <DigestMethod Algorithm="http://www.w3.org/2000/09/xmldsig#sha1"/>
        <DigestValue>AeKcWwJgAgryhNiy/Nhk1jpTXms=</DigestValue>
      </Reference>
      <Reference URI="/word/footnotes.xml?ContentType=application/vnd.openxmlformats-officedocument.wordprocessingml.footnotes+xml">
        <DigestMethod Algorithm="http://www.w3.org/2000/09/xmldsig#sha1"/>
        <DigestValue>+KdsvvHiMrDtc48MJOwWJ4X3vZM=</DigestValue>
      </Reference>
      <Reference URI="/word/numbering.xml?ContentType=application/vnd.openxmlformats-officedocument.wordprocessingml.numbering+xml">
        <DigestMethod Algorithm="http://www.w3.org/2000/09/xmldsig#sha1"/>
        <DigestValue>7W2fVCasvEoVWsNMR3RFX50akdA=</DigestValue>
      </Reference>
      <Reference URI="/word/settings.xml?ContentType=application/vnd.openxmlformats-officedocument.wordprocessingml.settings+xml">
        <DigestMethod Algorithm="http://www.w3.org/2000/09/xmldsig#sha1"/>
        <DigestValue>IAqfZHogI60V0Y8dTo72qvlT7JA=</DigestValue>
      </Reference>
      <Reference URI="/word/styles.xml?ContentType=application/vnd.openxmlformats-officedocument.wordprocessingml.styles+xml">
        <DigestMethod Algorithm="http://www.w3.org/2000/09/xmldsig#sha1"/>
        <DigestValue>uw1YfBjneByQJ3JzcMWnLwiQKok=</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2015-07-16T03:12:58Z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tình hình quản trị công ty bán niên 2015</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137</TotalTime>
  <Pages>6</Pages>
  <Words>1382</Words>
  <Characters>7881</Characters>
  <Application>Microsoft Office Word</Application>
  <DocSecurity>0</DocSecurity>
  <Lines>65</Lines>
  <Paragraphs>18</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2015-07-15T02:50:00Z</dcterms:created>
  <dcterms:modified xsi:type="dcterms:W3CDTF">2015-07-16T03:12:00Z</dcterms:modified>
</cp:coreProperties>
</file>